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Ruberoid, qazıntı və bərpa xərcləri</w:t>
      </w:r>
    </w:p>
    <w:p>
      <w:pPr>
        <w:pStyle w:val="Subtitle"/>
      </w:pPr>
      <w:r>
        <w:t>Cari qiymətlərlə ilkin büdcə  |  Bakı  |  06.09.2026</w:t>
      </w:r>
    </w:p>
    <w:p>
      <w:pPr>
        <w:pStyle w:val="SourceNote"/>
      </w:pPr>
      <w:r>
        <w:t>Ləhiş bağ sahəsi, 4094a saylı bağ sahəsindəki evin bünövrəsi üçün əvvəlki hesaba qazıntı, geri dolğu və torpaq səthinin bərpası ayrıca əlavə edilib. İzolyasiya sahəsi 121,2 m² şərti saxlanılır; iş həcmləri yerində təsdiqlənməyib. Məbləğlər tam təmir smetası və təsdiqlənmiş orta bazar dəyəri deyil.</w:t>
      </w:r>
    </w:p>
    <w:p>
      <w:pPr>
        <w:pStyle w:val="Heading2"/>
      </w:pPr>
      <w:r>
        <w:t>İşlər və ilkin məbləğlər</w:t>
      </w:r>
    </w:p>
    <w:tbl>
      <w:tblPr>
        <w:tblLayout w:type="fixed"/>
        <w:tblLook w:firstColumn="1" w:firstRow="1" w:lastColumn="0" w:lastRow="0" w:noHBand="0" w:noVBand="1" w:val="04A0"/>
        <w:tblW w:w="9360" w:type="dxa"/>
        <w:tblInd w:w="120" w:type="dxa"/>
        <w:tblCellMar>
          <w:top w:w="70" w:type="dxa"/>
          <w:bottom w:w="70" w:type="dxa"/>
          <w:left w:w="120" w:type="dxa"/>
          <w:right w:w="120" w:type="dxa"/>
        </w:tblCellMar>
        <w:tblBorders>
          <w:top w:val="single" w:sz="4" w:color="C7C7C7"/>
          <w:bottom w:val="single" w:sz="4" w:color="C7C7C7"/>
          <w:left w:val="single" w:sz="4" w:color="C7C7C7"/>
          <w:right w:val="single" w:sz="4" w:color="C7C7C7"/>
          <w:insideH w:val="single" w:sz="4" w:color="C7C7C7"/>
          <w:insideV w:val="single" w:sz="4" w:color="C7C7C7"/>
        </w:tblBorders>
      </w:tblPr>
      <w:tblGrid>
        <w:gridCol w:w="6240"/>
        <w:gridCol w:w="1560"/>
        <w:gridCol w:w="1560"/>
      </w:tblGrid>
      <w:tr>
        <w:trPr>
          <w:cantSplit/>
          <w:tblHeader/>
        </w:trPr>
        <w:tc>
          <w:tcPr>
            <w:tcW w:type="dxa" w:w="6240"/>
            <w:shd w:fill="F2F2F2"/>
          </w:tcPr>
          <w:p>
            <w:pPr>
              <w:pStyle w:val="TableHeader"/>
            </w:pPr>
            <w:r>
              <w:t>Xərc maddəsi və qəbul edilmiş hesab</w:t>
            </w:r>
          </w:p>
        </w:tc>
        <w:tc>
          <w:tcPr>
            <w:tcW w:type="dxa" w:w="1560"/>
            <w:shd w:fill="F2F2F2"/>
          </w:tcPr>
          <w:p>
            <w:pPr>
              <w:pStyle w:val="TableHeader"/>
              <w:jc w:val="right"/>
            </w:pPr>
            <w:r>
              <w:t>1 qat, AZN</w:t>
            </w:r>
          </w:p>
        </w:tc>
        <w:tc>
          <w:tcPr>
            <w:tcW w:type="dxa" w:w="1560"/>
            <w:shd w:fill="F2F2F2"/>
          </w:tcPr>
          <w:p>
            <w:pPr>
              <w:pStyle w:val="TableHeader"/>
              <w:jc w:val="right"/>
            </w:pPr>
            <w:r>
              <w:t>2 qat, AZN</w:t>
            </w:r>
          </w:p>
        </w:tc>
      </w:tr>
      <w:tr>
        <w:trPr>
          <w:cantSplit/>
        </w:trPr>
        <w:tc>
          <w:tcPr>
            <w:tcW w:type="dxa" w:w="6240"/>
          </w:tcPr>
          <w:p>
            <w:pPr>
              <w:pStyle w:val="TableText"/>
            </w:pPr>
            <w:r>
              <w:t>Tol: 27 manat/rulon; 14 və 27 rulon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378,00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729,00</w:t>
            </w:r>
          </w:p>
        </w:tc>
      </w:tr>
      <w:tr>
        <w:trPr>
          <w:cantSplit/>
        </w:trPr>
        <w:tc>
          <w:tcPr>
            <w:tcW w:type="dxa" w:w="6240"/>
          </w:tcPr>
          <w:p>
            <w:pPr>
              <w:pStyle w:val="TableText"/>
            </w:pPr>
            <w:r>
              <w:t>Praymer: şərti 2 qab × 44 manat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88,00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88,00</w:t>
            </w:r>
          </w:p>
        </w:tc>
      </w:tr>
      <w:tr>
        <w:trPr>
          <w:cantSplit/>
        </w:trPr>
        <w:tc>
          <w:tcPr>
            <w:tcW w:type="dxa" w:w="6240"/>
          </w:tcPr>
          <w:p>
            <w:pPr>
              <w:pStyle w:val="TableText"/>
            </w:pPr>
            <w:r>
              <w:t>Tolun işçiliyi: 121,2 m² × 2,50 manat hər qata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303,00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606,00</w:t>
            </w:r>
          </w:p>
        </w:tc>
      </w:tr>
      <w:tr>
        <w:trPr>
          <w:cantSplit/>
        </w:trPr>
        <w:tc>
          <w:tcPr>
            <w:tcW w:type="dxa" w:w="6240"/>
          </w:tcPr>
          <w:p>
            <w:pPr>
              <w:pStyle w:val="TableText"/>
            </w:pPr>
            <w:r>
              <w:t>Tol işi üçün yanacaq, xırda sərf və material çatdırılması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50,00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70,00</w:t>
            </w:r>
          </w:p>
        </w:tc>
      </w:tr>
      <w:tr>
        <w:trPr>
          <w:cantSplit/>
        </w:trPr>
        <w:tc>
          <w:tcPr>
            <w:tcW w:type="dxa" w:w="6240"/>
            <w:shd w:fill="F7F7F7"/>
          </w:tcPr>
          <w:p>
            <w:pPr>
              <w:pStyle w:val="TableHeader"/>
            </w:pPr>
            <w:r>
              <w:t>Əvvəlki izolyasiya hesabının cəmi</w:t>
            </w:r>
          </w:p>
        </w:tc>
        <w:tc>
          <w:tcPr>
            <w:tcW w:type="dxa" w:w="1560"/>
            <w:shd w:fill="F7F7F7"/>
          </w:tcPr>
          <w:p>
            <w:pPr>
              <w:pStyle w:val="TableHeader"/>
              <w:jc w:val="right"/>
            </w:pPr>
            <w:r>
              <w:t>819,00</w:t>
            </w:r>
          </w:p>
        </w:tc>
        <w:tc>
          <w:tcPr>
            <w:tcW w:type="dxa" w:w="1560"/>
            <w:shd w:fill="F7F7F7"/>
          </w:tcPr>
          <w:p>
            <w:pPr>
              <w:pStyle w:val="TableHeader"/>
              <w:jc w:val="right"/>
            </w:pPr>
            <w:r>
              <w:t>1 493,00</w:t>
            </w:r>
          </w:p>
        </w:tc>
      </w:tr>
      <w:tr>
        <w:trPr>
          <w:cantSplit/>
        </w:trPr>
        <w:tc>
          <w:tcPr>
            <w:tcW w:type="dxa" w:w="6240"/>
          </w:tcPr>
          <w:p>
            <w:pPr>
              <w:pStyle w:val="TableText"/>
            </w:pPr>
            <w:r>
              <w:t>Texnika ilə qazıntı: şərti 1 növbə × 300 manat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300,00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300,00</w:t>
            </w:r>
          </w:p>
        </w:tc>
      </w:tr>
      <w:tr>
        <w:trPr>
          <w:cantSplit/>
        </w:trPr>
        <w:tc>
          <w:tcPr>
            <w:tcW w:type="dxa" w:w="6240"/>
          </w:tcPr>
          <w:p>
            <w:pPr>
              <w:pStyle w:val="TableText"/>
            </w:pPr>
            <w:r>
              <w:t>Bünövrə yanında əl ilə tamamlama və torpağın təmizlənməsi: 2 fəhlə × 2 gün × 50 manat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200,00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200,00</w:t>
            </w:r>
          </w:p>
        </w:tc>
      </w:tr>
      <w:tr>
        <w:trPr>
          <w:cantSplit/>
        </w:trPr>
        <w:tc>
          <w:tcPr>
            <w:tcW w:type="dxa" w:w="6240"/>
          </w:tcPr>
          <w:p>
            <w:pPr>
              <w:pStyle w:val="TableText"/>
            </w:pPr>
            <w:r>
              <w:t>Texnika ilə geri dolğu: şərti 1 növbə × 300 manat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300,00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300,00</w:t>
            </w:r>
          </w:p>
        </w:tc>
      </w:tr>
      <w:tr>
        <w:trPr>
          <w:cantSplit/>
        </w:trPr>
        <w:tc>
          <w:tcPr>
            <w:tcW w:type="dxa" w:w="6240"/>
          </w:tcPr>
          <w:p>
            <w:pPr>
              <w:pStyle w:val="TableText"/>
            </w:pPr>
            <w:r>
              <w:t>Sıxlaşdırıcı avadanlığın icarəsi: 2 gün × 50 manat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100,00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100,00</w:t>
            </w:r>
          </w:p>
        </w:tc>
      </w:tr>
      <w:tr>
        <w:trPr>
          <w:cantSplit/>
        </w:trPr>
        <w:tc>
          <w:tcPr>
            <w:tcW w:type="dxa" w:w="6240"/>
          </w:tcPr>
          <w:p>
            <w:pPr>
              <w:pStyle w:val="TableText"/>
            </w:pPr>
            <w:r>
              <w:t>Lay-lay sıxlaşdırma işçiliyi: 2 fəhlə × 1 gün × 50 manat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100,00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100,00</w:t>
            </w:r>
          </w:p>
        </w:tc>
      </w:tr>
      <w:tr>
        <w:trPr>
          <w:cantSplit/>
        </w:trPr>
        <w:tc>
          <w:tcPr>
            <w:tcW w:type="dxa" w:w="6240"/>
          </w:tcPr>
          <w:p>
            <w:pPr>
              <w:pStyle w:val="TableText"/>
            </w:pPr>
            <w:r>
              <w:t>Texnikanın gətirilib-aparılması: 2 gediş-gəliş × 100 manat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200,00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200,00</w:t>
            </w:r>
          </w:p>
        </w:tc>
      </w:tr>
      <w:tr>
        <w:trPr>
          <w:cantSplit/>
        </w:trPr>
        <w:tc>
          <w:tcPr>
            <w:tcW w:type="dxa" w:w="6240"/>
          </w:tcPr>
          <w:p>
            <w:pPr>
              <w:pStyle w:val="TableText"/>
            </w:pPr>
            <w:r>
              <w:t>Son əl hamarlaması və sahədaxili təmizlik: 2 fəhlə × 1 gün × 50 manat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100,00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100,00</w:t>
            </w:r>
          </w:p>
        </w:tc>
      </w:tr>
      <w:tr>
        <w:trPr>
          <w:cantSplit/>
        </w:trPr>
        <w:tc>
          <w:tcPr>
            <w:tcW w:type="dxa" w:w="6240"/>
            <w:shd w:fill="F7F7F7"/>
          </w:tcPr>
          <w:p>
            <w:pPr>
              <w:pStyle w:val="TableHeader"/>
            </w:pPr>
            <w:r>
              <w:t>Əlavə qazıntı və torpaq səthinin bərpası — cəmi</w:t>
            </w:r>
          </w:p>
        </w:tc>
        <w:tc>
          <w:tcPr>
            <w:tcW w:type="dxa" w:w="1560"/>
            <w:shd w:fill="F7F7F7"/>
          </w:tcPr>
          <w:p>
            <w:pPr>
              <w:pStyle w:val="TableHeader"/>
              <w:jc w:val="right"/>
            </w:pPr>
            <w:r>
              <w:t>1 300,00</w:t>
            </w:r>
          </w:p>
        </w:tc>
        <w:tc>
          <w:tcPr>
            <w:tcW w:type="dxa" w:w="1560"/>
            <w:shd w:fill="F7F7F7"/>
          </w:tcPr>
          <w:p>
            <w:pPr>
              <w:pStyle w:val="TableHeader"/>
              <w:jc w:val="right"/>
            </w:pPr>
            <w:r>
              <w:t>1 300,00</w:t>
            </w:r>
          </w:p>
        </w:tc>
      </w:tr>
      <w:tr>
        <w:trPr>
          <w:cantSplit/>
        </w:trPr>
        <w:tc>
          <w:tcPr>
            <w:tcW w:type="dxa" w:w="6240"/>
            <w:shd w:fill="F7F7F7"/>
          </w:tcPr>
          <w:p>
            <w:pPr>
              <w:pStyle w:val="TableHeader"/>
            </w:pPr>
            <w:r>
              <w:t>Ümumi ilkin hesab — bərk örtüyün bərpası xaric</w:t>
            </w:r>
          </w:p>
        </w:tc>
        <w:tc>
          <w:tcPr>
            <w:tcW w:type="dxa" w:w="1560"/>
            <w:shd w:fill="F7F7F7"/>
          </w:tcPr>
          <w:p>
            <w:pPr>
              <w:pStyle w:val="TableHeader"/>
              <w:jc w:val="right"/>
            </w:pPr>
            <w:r>
              <w:t>2 119,00</w:t>
            </w:r>
          </w:p>
        </w:tc>
        <w:tc>
          <w:tcPr>
            <w:tcW w:type="dxa" w:w="1560"/>
            <w:shd w:fill="F7F7F7"/>
          </w:tcPr>
          <w:p>
            <w:pPr>
              <w:pStyle w:val="TableHeader"/>
              <w:jc w:val="right"/>
            </w:pPr>
            <w:r>
              <w:t>2 793,00</w:t>
            </w:r>
          </w:p>
        </w:tc>
      </w:tr>
    </w:tbl>
    <w:p>
      <w:pPr>
        <w:pStyle w:val="SourceNote"/>
      </w:pPr>
      <w:r>
        <w:t>ƏDV statusu: cədvəldəki qiymətlərin ƏDV-siz olduğu təsdiqlənməyib. Bütün məbləğlər ƏDV-siz kimi sənədləşdirilərsə, 18% əlavə ilə yekun 1 qat üçün 2 500,42 manat, 2 qat üçün 3 295,74 manat olar. Qiymətə daxil olan ƏDV yenidən əlavə edilmir.</w:t>
      </w:r>
    </w:p>
    <w:p>
      <w:pPr>
        <w:pStyle w:val="SourceNote"/>
      </w:pPr>
      <w:r>
        <w:t>Qazıntı və geri dolğu eyni iş sahəsi üçün hər iki variantda eyni qəbul edilir. Əlavə ruberoid qatı torpaq işlərinin məbləğini avtomatik ikiqat artırmır.</w:t>
      </w:r>
    </w:p>
    <w:p>
      <w:r>
        <w:br w:type="page"/>
      </w:r>
    </w:p>
    <w:p>
      <w:pPr>
        <w:pStyle w:val="Heading2"/>
      </w:pPr>
      <w:r>
        <w:t>Həyət örtüyünün bərpası — ayrıca variant</w:t>
      </w:r>
    </w:p>
    <w:p>
      <w:pPr/>
      <w:r>
        <w:t>Örtüyün növü və söküləcək sahə məlum deyil. Aşağıdakı hesab yalnız 30 m² tametin sökülüb mövcud daşlarla yenidən döşənməsi üçün şərti nümunədir. Bu 30 m² layihədən ölçülmüş göstərici deyil və əsas cəmə daxil edilməyib.</w:t>
      </w:r>
    </w:p>
    <w:tbl>
      <w:tblPr>
        <w:tblLayout w:type="fixed"/>
        <w:tblLook w:firstColumn="1" w:firstRow="1" w:lastColumn="0" w:lastRow="0" w:noHBand="0" w:noVBand="1" w:val="04A0"/>
        <w:tblW w:w="9360" w:type="dxa"/>
        <w:tblInd w:w="120" w:type="dxa"/>
        <w:tblCellMar>
          <w:top w:w="70" w:type="dxa"/>
          <w:bottom w:w="70" w:type="dxa"/>
          <w:left w:w="120" w:type="dxa"/>
          <w:right w:w="120" w:type="dxa"/>
        </w:tblCellMar>
        <w:tblBorders>
          <w:top w:val="single" w:sz="4" w:color="C7C7C7"/>
          <w:bottom w:val="single" w:sz="4" w:color="C7C7C7"/>
          <w:left w:val="single" w:sz="4" w:color="C7C7C7"/>
          <w:right w:val="single" w:sz="4" w:color="C7C7C7"/>
          <w:insideH w:val="single" w:sz="4" w:color="C7C7C7"/>
          <w:insideV w:val="single" w:sz="4" w:color="C7C7C7"/>
        </w:tblBorders>
      </w:tblPr>
      <w:tblGrid>
        <w:gridCol w:w="4800"/>
        <w:gridCol w:w="3000"/>
        <w:gridCol w:w="1560"/>
      </w:tblGrid>
      <w:tr>
        <w:trPr>
          <w:cantSplit/>
          <w:tblHeader/>
        </w:trPr>
        <w:tc>
          <w:tcPr>
            <w:tcW w:type="dxa" w:w="4800"/>
            <w:shd w:fill="F2F2F2"/>
          </w:tcPr>
          <w:p>
            <w:pPr>
              <w:pStyle w:val="TableHeader"/>
            </w:pPr>
            <w:r>
              <w:t>Tamet üzrə əlavə iş</w:t>
            </w:r>
          </w:p>
        </w:tc>
        <w:tc>
          <w:tcPr>
            <w:tcW w:type="dxa" w:w="3000"/>
            <w:shd w:fill="F2F2F2"/>
          </w:tcPr>
          <w:p>
            <w:pPr>
              <w:pStyle w:val="TableHeader"/>
              <w:jc w:val="right"/>
            </w:pPr>
            <w:r>
              <w:t>Hesab</w:t>
            </w:r>
          </w:p>
        </w:tc>
        <w:tc>
          <w:tcPr>
            <w:tcW w:type="dxa" w:w="1560"/>
            <w:shd w:fill="F2F2F2"/>
          </w:tcPr>
          <w:p>
            <w:pPr>
              <w:pStyle w:val="TableHeader"/>
              <w:jc w:val="right"/>
            </w:pPr>
            <w:r>
              <w:t>AZN</w:t>
            </w:r>
          </w:p>
        </w:tc>
      </w:tr>
      <w:tr>
        <w:trPr>
          <w:cantSplit/>
        </w:trPr>
        <w:tc>
          <w:tcPr>
            <w:tcW w:type="dxa" w:w="4800"/>
          </w:tcPr>
          <w:p>
            <w:pPr>
              <w:pStyle w:val="TableText"/>
            </w:pPr>
            <w:r>
              <w:t>Sökülmə və daşların kənarda yığılması</w:t>
            </w:r>
          </w:p>
        </w:tc>
        <w:tc>
          <w:tcPr>
            <w:tcW w:type="dxa" w:w="3000"/>
          </w:tcPr>
          <w:p>
            <w:pPr>
              <w:pStyle w:val="TableText"/>
              <w:jc w:val="right"/>
            </w:pPr>
            <w:r>
              <w:t>30 m² × 3 manat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90,00</w:t>
            </w:r>
          </w:p>
        </w:tc>
      </w:tr>
      <w:tr>
        <w:trPr>
          <w:cantSplit/>
        </w:trPr>
        <w:tc>
          <w:tcPr>
            <w:tcW w:type="dxa" w:w="4800"/>
          </w:tcPr>
          <w:p>
            <w:pPr>
              <w:pStyle w:val="TableText"/>
            </w:pPr>
            <w:r>
              <w:t>Yataq qatının bərpası — material və əmək</w:t>
            </w:r>
          </w:p>
        </w:tc>
        <w:tc>
          <w:tcPr>
            <w:tcW w:type="dxa" w:w="3000"/>
          </w:tcPr>
          <w:p>
            <w:pPr>
              <w:pStyle w:val="TableText"/>
              <w:jc w:val="right"/>
            </w:pPr>
            <w:r>
              <w:t>30 m² × 4 manat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120,00</w:t>
            </w:r>
          </w:p>
        </w:tc>
      </w:tr>
      <w:tr>
        <w:trPr>
          <w:cantSplit/>
        </w:trPr>
        <w:tc>
          <w:tcPr>
            <w:tcW w:type="dxa" w:w="4800"/>
          </w:tcPr>
          <w:p>
            <w:pPr>
              <w:pStyle w:val="TableText"/>
            </w:pPr>
            <w:r>
              <w:t>Mövcud tametin təkrar döşənməsi</w:t>
            </w:r>
          </w:p>
        </w:tc>
        <w:tc>
          <w:tcPr>
            <w:tcW w:type="dxa" w:w="3000"/>
          </w:tcPr>
          <w:p>
            <w:pPr>
              <w:pStyle w:val="TableText"/>
              <w:jc w:val="right"/>
            </w:pPr>
            <w:r>
              <w:t>30 m² × 8 manat</w:t>
            </w:r>
          </w:p>
        </w:tc>
        <w:tc>
          <w:tcPr>
            <w:tcW w:type="dxa" w:w="1560"/>
          </w:tcPr>
          <w:p>
            <w:pPr>
              <w:pStyle w:val="TableText"/>
              <w:jc w:val="right"/>
            </w:pPr>
            <w:r>
              <w:t>240,00</w:t>
            </w:r>
          </w:p>
        </w:tc>
      </w:tr>
      <w:tr>
        <w:trPr>
          <w:cantSplit/>
        </w:trPr>
        <w:tc>
          <w:tcPr>
            <w:tcW w:type="dxa" w:w="4800"/>
            <w:shd w:fill="F7F7F7"/>
          </w:tcPr>
          <w:p>
            <w:pPr>
              <w:pStyle w:val="TableHeader"/>
            </w:pPr>
            <w:r>
              <w:t>Şərti əlavə</w:t>
            </w:r>
          </w:p>
        </w:tc>
        <w:tc>
          <w:tcPr>
            <w:tcW w:type="dxa" w:w="3000"/>
            <w:shd w:fill="F7F7F7"/>
          </w:tcPr>
          <w:p>
            <w:pPr>
              <w:pStyle w:val="TableHeader"/>
              <w:jc w:val="right"/>
            </w:pPr>
            <w:r>
              <w:t>30 m² × 15 manat</w:t>
            </w:r>
          </w:p>
        </w:tc>
        <w:tc>
          <w:tcPr>
            <w:tcW w:type="dxa" w:w="1560"/>
            <w:shd w:fill="F7F7F7"/>
          </w:tcPr>
          <w:p>
            <w:pPr>
              <w:pStyle w:val="TableHeader"/>
              <w:jc w:val="right"/>
            </w:pPr>
            <w:r>
              <w:t>450,00</w:t>
            </w:r>
          </w:p>
        </w:tc>
      </w:tr>
    </w:tbl>
    <w:p>
      <w:pPr>
        <w:pStyle w:val="SourceNote"/>
      </w:pPr>
      <w:r>
        <w:t>Bu variant tətbiq olunarsa, ümumi ilkin məbləğ 1 qatda 2 569 manat, 2 qatda 3 243 manatdır. Hamısı ƏDV-siz təsdiqlənərsə, 18% əlavə ilə müvafiq olaraq 3 031,42 manat və 3 826,74 manat alınır. Yeni tamet alınması, bordür və beton əsas bu nümunəyə daxil deyil. Beton örtük üçün qalınlıq, armatur və beton həcmi ayrıca hesablanmalıdır.</w:t>
      </w:r>
    </w:p>
    <w:p>
      <w:pPr>
        <w:pStyle w:val="Heading2"/>
      </w:pPr>
      <w:r>
        <w:t>Həcmlər və tariflər üzrə qəbul edilmiş şərtlər</w:t>
      </w:r>
    </w:p>
    <w:p>
      <w:pPr>
        <w:pStyle w:val="SourceNote"/>
      </w:pPr>
      <w:r>
        <w:t>Əvvəlki 121,2 m² sahə lentlərin hər iki yan səthi üçün qurulmuş şərti hesabdır. Hazır evdə daxili lentlərə və bütün səthlərə texnika ilə çıxış təsdiqlənməyib. Qazıntının uzunluğu, eni və dərinliyi ölçülmədiyindən maşın-növbə üzrə büdcə götürülüb; 1 növbədə işin tamamlanacağı təsdiq olunmayıb. Dəqiq həcm ayrı xəndək hissələrinin uzunluq × en × dərinlik cəmi ilə hesablanmalıdır.</w:t>
      </w:r>
    </w:p>
    <w:p>
      <w:pPr>
        <w:pStyle w:val="SourceNote"/>
      </w:pPr>
      <w:r>
        <w:t>Bir texnika növbəsi şərti 8 saatdır. 300 manat/növbə, operator və texnika yanacağının bu məbləğə daxil edilməsi büdcə qəbuludur. Elanlardakı 250–300 manat konkret müddət, yanacaq və çatdırılma şərtlərini tam təsdiqləmir. Sıxlaşdırıcının 50 manat/gün tarifi, fəhlənin 50 manat/gün haqqı və nəqliyyatın 100 manat/gediş-gəliş məbləği də bu obyekt üçün təsdiqlənmiş təklif deyil.</w:t>
      </w:r>
    </w:p>
    <w:p>
      <w:pPr>
        <w:pStyle w:val="SourceNote"/>
      </w:pPr>
      <w:r>
        <w:t>Torpağın sahədə saxlanıb geri istifadə edilməsi və texnikaya girişin mümkünlüyü fərz edilir. Kənara daşınma, yeni dolğu materialı, suyun kənarlaşdırılması, xəndək bərkitməsi, drenaj, izolyasiyanın mexaniki qoruyucu qatı və daxili döşəmələrin sökülüb-bərpası üzrə həcm müəyyən edilməyib; bu işlər lazım gələrsə ayrıca qiymətləndirilməlidir. Mövcud bünövrəyə yaxın qazıntının mərhələləri və dayanıqlıq tədbirləri mühəndis tərəfindən müəyyən edilməlidir.</w:t>
      </w:r>
    </w:p>
    <w:p>
      <w:pPr>
        <w:pStyle w:val="SourceNote"/>
      </w:pPr>
      <w:r>
        <w:t>Material hesabında 10 m² rulon, birləşmə və kəsim üçün şərti 10% əlavə sərf saxlanılıb. Praymerin sərfi, tol işçiliyi və tamet üçün qəbul edilən 3, 4 və 8 manat/m² tarifləri ilkin fərziyyələrdir. Əsas cədvəldəki material çatdırılması ilə texnikanın gətirilməsi fərqli xərclərdir.</w:t>
      </w:r>
    </w:p>
    <w:p>
      <w:pPr>
        <w:pStyle w:val="Heading2"/>
      </w:pPr>
      <w:r>
        <w:t>Qiymət və texniki istinadlar</w:t>
      </w:r>
    </w:p>
    <w:p>
      <w:pPr>
        <w:pStyle w:val="SourceNote"/>
      </w:pPr>
      <w:hyperlink r:id="rId16">
        <w:r>
          <w:rPr>
            <w:color w:val="1F4D78"/>
          </w:rPr>
          <w:t>Tol: Dewalla — 27 manat/rulon, 10 m²</w:t>
        </w:r>
      </w:hyperlink>
    </w:p>
    <w:p>
      <w:pPr>
        <w:pStyle w:val="SourceNote"/>
      </w:pPr>
      <w:hyperlink r:id="rId17">
        <w:r>
          <w:rPr>
            <w:color w:val="1F4D78"/>
          </w:rPr>
          <w:t>Praymer elanı — 44 manat</w:t>
        </w:r>
      </w:hyperlink>
    </w:p>
    <w:p>
      <w:pPr>
        <w:pStyle w:val="SourceNote"/>
      </w:pPr>
      <w:hyperlink r:id="rId19">
        <w:r>
          <w:rPr>
            <w:color w:val="1F4D78"/>
          </w:rPr>
          <w:t>CAT 428 icarəsi — 300 manat; müddət və paket ayrıca dəqiqləşdirilir</w:t>
        </w:r>
      </w:hyperlink>
    </w:p>
    <w:p>
      <w:pPr>
        <w:pStyle w:val="SourceNote"/>
      </w:pPr>
      <w:hyperlink r:id="rId20">
        <w:r>
          <w:rPr>
            <w:color w:val="1F4D78"/>
          </w:rPr>
          <w:t>Ekskavator xidməti — 250 manat; qiymət işdən asılıdır</w:t>
        </w:r>
      </w:hyperlink>
    </w:p>
    <w:p>
      <w:pPr>
        <w:pStyle w:val="SourceNote"/>
      </w:pPr>
      <w:hyperlink r:id="rId21">
        <w:r>
          <w:rPr>
            <w:color w:val="1F4D78"/>
          </w:rPr>
          <w:t>Sıxlaşdırıcı icarəsi — 50 manat; elanda müddət göstərilmir</w:t>
        </w:r>
      </w:hyperlink>
    </w:p>
    <w:p>
      <w:pPr>
        <w:pStyle w:val="SourceNote"/>
      </w:pPr>
      <w:hyperlink r:id="rId22">
        <w:r>
          <w:rPr>
            <w:color w:val="1F4D78"/>
          </w:rPr>
          <w:t>Tamet ustası — 8 manat; konkret iş üzrə razılaşma nəzərdə tutulur</w:t>
        </w:r>
      </w:hyperlink>
    </w:p>
    <w:p>
      <w:pPr>
        <w:pStyle w:val="SourceNote"/>
      </w:pPr>
      <w:hyperlink r:id="rId23">
        <w:r>
          <w:rPr>
            <w:color w:val="1F4D78"/>
          </w:rPr>
          <w:t>Texniki məlumat: HSE, mövcud tikililər yaxınlığında qazıntı (Azərbaycan norması deyil)</w:t>
        </w:r>
      </w:hyperlink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06.09.2026  •  Səhifə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P-18/2020  |  Ruberoid, qazıntı və bərpa xərcləri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before="0" w:after="120" w:line="264" w:lineRule="auto"/>
    </w:pPr>
    <w:rPr>
      <w:rFonts w:ascii="Calibri" w:hAnsi="Calibri"/>
      <w:b w:val="0"/>
      <w:i w:val="0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widowControl/>
      <w:tabs>
        <w:tab w:val="center" w:pos="4680"/>
        <w:tab w:val="right" w:pos="9360"/>
      </w:tabs>
      <w:spacing w:after="0" w:line="264" w:lineRule="auto" w:before="0"/>
    </w:pPr>
    <w:rPr>
      <w:rFonts w:ascii="Calibri" w:hAnsi="Calibri"/>
      <w:b w:val="0"/>
      <w:i w:val="0"/>
      <w:color w:val="666666"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widowControl/>
      <w:tabs>
        <w:tab w:val="center" w:pos="4680"/>
        <w:tab w:val="right" w:pos="9360"/>
      </w:tabs>
      <w:spacing w:after="0" w:line="264" w:lineRule="auto" w:before="0"/>
    </w:pPr>
    <w:rPr>
      <w:rFonts w:ascii="Calibri" w:hAnsi="Calibri"/>
      <w:b w:val="0"/>
      <w:i w:val="0"/>
      <w:color w:val="666666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320" w:after="160" w:line="264" w:lineRule="auto"/>
      <w:outlineLvl w:val="0"/>
    </w:pPr>
    <w:rPr>
      <w:rFonts w:asciiTheme="majorHAnsi" w:eastAsiaTheme="majorEastAsia" w:hAnsiTheme="majorHAnsi" w:cstheme="majorBidi" w:ascii="Calibri" w:hAnsi="Calibri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40" w:after="120" w:line="264" w:lineRule="auto"/>
      <w:outlineLvl w:val="1"/>
    </w:pPr>
    <w:rPr>
      <w:rFonts w:asciiTheme="majorHAnsi" w:eastAsiaTheme="majorEastAsia" w:hAnsiTheme="majorHAnsi" w:cstheme="majorBidi" w:ascii="Calibri" w:hAnsi="Calibri"/>
      <w:b/>
      <w:bCs/>
      <w:i w:val="0"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widowControl/>
      <w:spacing w:before="160" w:after="80" w:line="264" w:lineRule="auto"/>
      <w:outlineLvl w:val="2"/>
    </w:pPr>
    <w:rPr>
      <w:rFonts w:asciiTheme="majorHAnsi" w:eastAsiaTheme="majorEastAsia" w:hAnsiTheme="majorHAnsi" w:cstheme="majorBidi" w:ascii="Calibri" w:hAnsi="Calibri"/>
      <w:b/>
      <w:bCs/>
      <w:i w:val="0"/>
      <w:color w:val="000000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widowControl/>
      <w:spacing w:after="160" w:line="264" w:lineRule="auto" w:before="0"/>
      <w:contextualSpacing/>
    </w:pPr>
    <w:rPr>
      <w:rFonts w:asciiTheme="majorHAnsi" w:eastAsiaTheme="majorEastAsia" w:hAnsiTheme="majorHAnsi" w:cstheme="majorBidi" w:ascii="Calibri" w:hAnsi="Calibri"/>
      <w:b/>
      <w:i w:val="0"/>
      <w:color w:val="000000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widowControl/>
      <w:numPr>
        <w:ilvl w:val="1"/>
      </w:numPr>
      <w:spacing w:before="0" w:after="160" w:line="264" w:lineRule="auto"/>
    </w:pPr>
    <w:rPr>
      <w:rFonts w:asciiTheme="majorHAnsi" w:eastAsiaTheme="majorEastAsia" w:hAnsiTheme="majorHAnsi" w:cstheme="majorBidi" w:ascii="Calibri" w:hAnsi="Calibri"/>
      <w:b w:val="0"/>
      <w:i w:val="0"/>
      <w:iCs/>
      <w:color w:val="666666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 Text"/>
    <w:pPr>
      <w:widowControl/>
      <w:spacing w:before="0" w:after="40" w:line="264" w:lineRule="auto"/>
    </w:pPr>
    <w:rPr>
      <w:rFonts w:ascii="Calibri" w:hAnsi="Calibri"/>
      <w:b w:val="0"/>
      <w:i w:val="0"/>
      <w:color w:val="000000"/>
      <w:sz w:val="21"/>
    </w:rPr>
  </w:style>
  <w:style w:type="paragraph" w:customStyle="1" w:styleId="TableHeader">
    <w:name w:val="Table Header"/>
    <w:pPr>
      <w:widowControl/>
      <w:spacing w:before="0" w:after="40" w:line="264" w:lineRule="auto"/>
    </w:pPr>
    <w:rPr>
      <w:rFonts w:ascii="Calibri" w:hAnsi="Calibri"/>
      <w:b/>
      <w:i w:val="0"/>
      <w:color w:val="000000"/>
      <w:sz w:val="21"/>
    </w:rPr>
  </w:style>
  <w:style w:type="paragraph" w:customStyle="1" w:styleId="TableCitation">
    <w:name w:val="Table Citation"/>
    <w:pPr>
      <w:widowControl/>
      <w:spacing w:before="80" w:after="80" w:line="264" w:lineRule="auto"/>
    </w:pPr>
    <w:rPr>
      <w:rFonts w:ascii="Calibri" w:hAnsi="Calibri"/>
      <w:b w:val="0"/>
      <w:i w:val="0"/>
      <w:color w:val="444444"/>
      <w:sz w:val="19"/>
    </w:rPr>
  </w:style>
  <w:style w:type="paragraph" w:customStyle="1" w:styleId="SourceNote">
    <w:name w:val="Source Note"/>
    <w:pPr>
      <w:widowControl/>
      <w:spacing w:before="80" w:after="80" w:line="264" w:lineRule="auto"/>
    </w:pPr>
    <w:rPr>
      <w:rFonts w:ascii="Calibri" w:hAnsi="Calibri"/>
      <w:b w:val="0"/>
      <w:i w:val="0"/>
      <w:color w:val="555555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yperlink" Target="https://www.stat.gov.az/source/price_tarif/az/B/2020/Qiymetler%20ve%20qiymet%20indeksleri_%20bulleten_2020_yanvar-dekabr.xls" TargetMode="External"/><Relationship Id="rId12" Type="http://schemas.openxmlformats.org/officeDocument/2006/relationships/hyperlink" Target="https://banco.az/az/news/azerbaycanda-tikinti-materiallari-cuzi-bahalasib-qiymetler" TargetMode="External"/><Relationship Id="rId13" Type="http://schemas.openxmlformats.org/officeDocument/2006/relationships/hyperlink" Target="https://www.arxkom.gov.az/qanunvericilik/normativler/insaat-konstruksiyalar-sistemi/dam-ortukleri-layihelendirme-normalari" TargetMode="External"/><Relationship Id="rId14" Type="http://schemas.openxmlformats.org/officeDocument/2006/relationships/hyperlink" Target="https://arxkom.gov.az/qanunvericilik/normativler/insaat-konstruksiyalar-sistemi/das-ve-armaturlanmis-das-konstruksiyalar-layihelendirme-normalari" TargetMode="External"/><Relationship Id="rId15" Type="http://schemas.openxmlformats.org/officeDocument/2006/relationships/hyperlink" Target="https://www.arxkom.gov.az/qanunvericilik/normativler/insaat-konstruksiyalar-sistemi/bina-ve-qurgularin-yukdasiyan-insaat-konstruksiyalarinin-muayinesi-qaydalari" TargetMode="External"/><Relationship Id="rId16" Type="http://schemas.openxmlformats.org/officeDocument/2006/relationships/hyperlink" Target="https://dewalla.az/texnonikol-stekloizol-tpp-2-5" TargetMode="External"/><Relationship Id="rId17" Type="http://schemas.openxmlformats.org/officeDocument/2006/relationships/hyperlink" Target="https://tap.az/elanlar/ev-ve-bag-ucun/temir-tikinti/48316876" TargetMode="External"/><Relationship Id="rId18" Type="http://schemas.openxmlformats.org/officeDocument/2006/relationships/hyperlink" Target="https://tap.az/elanlar/xidmetler/temir-tikinti/45796261" TargetMode="External"/><Relationship Id="rId19" Type="http://schemas.openxmlformats.org/officeDocument/2006/relationships/hyperlink" Target="https://tap.az/elanlar/xidmetler/neqliyyat-icaresi/48583923" TargetMode="External"/><Relationship Id="rId20" Type="http://schemas.openxmlformats.org/officeDocument/2006/relationships/hyperlink" Target="https://tap.az/elanlar/xidmetler/neqliyyat-icaresi/48536229" TargetMode="External"/><Relationship Id="rId21" Type="http://schemas.openxmlformats.org/officeDocument/2006/relationships/hyperlink" Target="https://lalafo.az/digyakh/ads/trambovka-aparati-icar-arenda-kiray-id-114326085" TargetMode="External"/><Relationship Id="rId22" Type="http://schemas.openxmlformats.org/officeDocument/2006/relationships/hyperlink" Target="https://tap.az/elanlar/xidmetler/temir-tikinti/46223085" TargetMode="External"/><Relationship Id="rId23" Type="http://schemas.openxmlformats.org/officeDocument/2006/relationships/hyperlink" Target="https://www.hse.gov.uk/construction/safetytopics/excavation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Ruberoid, qazıntı və bərpa işlərinin cari qiymətlərlə ilkin hesabı</dc:title>
  <dc:subject>Ekspertin 4-cü sualı üzrə şərti iş həcmləri və cari xərc hesabı</dc:subject>
  <dc:creator/>
  <cp:keywords>P-18/2020, dam, bünövrə, ekspertiza, izahat layihəsi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