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9C56CE" w14:textId="024E60BE" w:rsidR="00F941CF" w:rsidRDefault="00EA2C2B">
      <w:pPr>
        <w:spacing w:after="200"/>
        <w:jc w:val="right"/>
        <w:rPr>
          <w:rFonts w:hint="eastAsia"/>
        </w:rPr>
      </w:pPr>
      <w:r>
        <w:rPr>
          <w:rFonts w:cs="DejaVu Serif"/>
          <w:b/>
          <w:color w:val="000000"/>
          <w:sz w:val="26"/>
        </w:rPr>
        <w:t>XƏZƏR</w:t>
      </w:r>
      <w:r w:rsidR="00667B8D">
        <w:rPr>
          <w:rFonts w:cs="DejaVu Serif"/>
          <w:b/>
          <w:color w:val="000000"/>
          <w:sz w:val="26"/>
        </w:rPr>
        <w:t xml:space="preserve"> RAYON MƏHKƏMƏSİNƏ</w:t>
      </w:r>
    </w:p>
    <w:tbl>
      <w:tblPr>
        <w:tblW w:w="0" w:type="auto"/>
        <w:jc w:val="right"/>
        <w:tblLayout w:type="fixed"/>
        <w:tblLook w:val="04A0" w:firstRow="1" w:lastRow="0" w:firstColumn="1" w:lastColumn="0" w:noHBand="0" w:noVBand="1"/>
      </w:tblPr>
      <w:tblGrid>
        <w:gridCol w:w="2778"/>
        <w:gridCol w:w="4819"/>
      </w:tblGrid>
      <w:tr w:rsidR="00F941CF" w14:paraId="639C8D7A" w14:textId="77777777" w:rsidTr="00E54A7D">
        <w:trPr>
          <w:jc w:val="right"/>
        </w:trPr>
        <w:tc>
          <w:tcPr>
            <w:tcW w:w="2778" w:type="dxa"/>
            <w:tcMar>
              <w:top w:w="65" w:type="dxa"/>
              <w:left w:w="120" w:type="dxa"/>
              <w:bottom w:w="65" w:type="dxa"/>
              <w:right w:w="120" w:type="dxa"/>
            </w:tcMar>
          </w:tcPr>
          <w:p w14:paraId="77BAF014" w14:textId="77777777" w:rsidR="00F941CF" w:rsidRDefault="00667B8D">
            <w:pPr>
              <w:spacing w:after="0"/>
              <w:rPr>
                <w:rFonts w:hint="eastAsia"/>
              </w:rPr>
            </w:pPr>
            <w:r>
              <w:rPr>
                <w:rFonts w:cs="DejaVu Serif"/>
                <w:b/>
                <w:color w:val="000000"/>
                <w:sz w:val="21"/>
              </w:rPr>
              <w:t>Şikayət verən şəxs:</w:t>
            </w:r>
          </w:p>
        </w:tc>
        <w:tc>
          <w:tcPr>
            <w:tcW w:w="4819" w:type="dxa"/>
            <w:tcMar>
              <w:top w:w="65" w:type="dxa"/>
              <w:left w:w="120" w:type="dxa"/>
              <w:bottom w:w="65" w:type="dxa"/>
              <w:right w:w="120" w:type="dxa"/>
            </w:tcMar>
          </w:tcPr>
          <w:p w14:paraId="599927E6" w14:textId="77777777" w:rsidR="00F941CF" w:rsidRDefault="00667B8D">
            <w:pPr>
              <w:spacing w:after="0"/>
              <w:rPr>
                <w:rFonts w:hint="eastAsia"/>
              </w:rPr>
            </w:pPr>
            <w:r>
              <w:rPr>
                <w:rFonts w:cs="DejaVu Serif"/>
                <w:color w:val="000000"/>
                <w:sz w:val="21"/>
              </w:rPr>
              <w:t>Cəlilov Seyhun Bahar oğlu</w:t>
            </w:r>
          </w:p>
        </w:tc>
      </w:tr>
      <w:tr w:rsidR="00F941CF" w14:paraId="3CA0FFCE" w14:textId="77777777" w:rsidTr="00E54A7D">
        <w:trPr>
          <w:jc w:val="right"/>
        </w:trPr>
        <w:tc>
          <w:tcPr>
            <w:tcW w:w="2778" w:type="dxa"/>
            <w:tcMar>
              <w:top w:w="65" w:type="dxa"/>
              <w:left w:w="120" w:type="dxa"/>
              <w:bottom w:w="65" w:type="dxa"/>
              <w:right w:w="120" w:type="dxa"/>
            </w:tcMar>
          </w:tcPr>
          <w:p w14:paraId="07EC62E1" w14:textId="77777777" w:rsidR="00F941CF" w:rsidRDefault="00667B8D">
            <w:pPr>
              <w:spacing w:after="0"/>
              <w:rPr>
                <w:rFonts w:hint="eastAsia"/>
              </w:rPr>
            </w:pPr>
            <w:r>
              <w:rPr>
                <w:rFonts w:cs="DejaVu Serif"/>
                <w:b/>
                <w:color w:val="000000"/>
                <w:sz w:val="21"/>
              </w:rPr>
              <w:t>Doğum tarixi:</w:t>
            </w:r>
          </w:p>
        </w:tc>
        <w:tc>
          <w:tcPr>
            <w:tcW w:w="4819" w:type="dxa"/>
            <w:tcMar>
              <w:top w:w="65" w:type="dxa"/>
              <w:left w:w="120" w:type="dxa"/>
              <w:bottom w:w="65" w:type="dxa"/>
              <w:right w:w="120" w:type="dxa"/>
            </w:tcMar>
          </w:tcPr>
          <w:p w14:paraId="129A1840" w14:textId="77777777" w:rsidR="00F941CF" w:rsidRDefault="00667B8D">
            <w:pPr>
              <w:spacing w:after="0"/>
              <w:rPr>
                <w:rFonts w:hint="eastAsia"/>
              </w:rPr>
            </w:pPr>
            <w:r>
              <w:rPr>
                <w:rFonts w:cs="DejaVu Serif"/>
                <w:color w:val="000000"/>
                <w:sz w:val="21"/>
              </w:rPr>
              <w:t>25.10.1976</w:t>
            </w:r>
          </w:p>
        </w:tc>
      </w:tr>
      <w:tr w:rsidR="0034552E" w14:paraId="30251076" w14:textId="77777777" w:rsidTr="00E54A7D">
        <w:trPr>
          <w:jc w:val="right"/>
        </w:trPr>
        <w:tc>
          <w:tcPr>
            <w:tcW w:w="2778" w:type="dxa"/>
            <w:tcMar>
              <w:top w:w="65" w:type="dxa"/>
              <w:left w:w="120" w:type="dxa"/>
              <w:bottom w:w="65" w:type="dxa"/>
              <w:right w:w="120" w:type="dxa"/>
            </w:tcMar>
          </w:tcPr>
          <w:p w14:paraId="33E05B47" w14:textId="440AAB31" w:rsidR="0034552E" w:rsidRDefault="0034552E">
            <w:pPr>
              <w:spacing w:after="0"/>
              <w:rPr>
                <w:rFonts w:cs="DejaVu Serif" w:hint="eastAsia"/>
                <w:b/>
                <w:color w:val="000000"/>
                <w:sz w:val="21"/>
              </w:rPr>
            </w:pPr>
            <w:r>
              <w:rPr>
                <w:rFonts w:cs="DejaVu Serif"/>
                <w:b/>
                <w:color w:val="000000"/>
                <w:sz w:val="21"/>
              </w:rPr>
              <w:t>FİN:</w:t>
            </w:r>
          </w:p>
        </w:tc>
        <w:tc>
          <w:tcPr>
            <w:tcW w:w="4819" w:type="dxa"/>
            <w:tcMar>
              <w:top w:w="65" w:type="dxa"/>
              <w:left w:w="120" w:type="dxa"/>
              <w:bottom w:w="65" w:type="dxa"/>
              <w:right w:w="120" w:type="dxa"/>
            </w:tcMar>
          </w:tcPr>
          <w:p w14:paraId="411A7C73" w14:textId="504F8D0C" w:rsidR="0034552E" w:rsidRDefault="0034552E">
            <w:pPr>
              <w:spacing w:after="0"/>
              <w:rPr>
                <w:rFonts w:cs="DejaVu Serif" w:hint="eastAsia"/>
                <w:color w:val="000000"/>
                <w:sz w:val="21"/>
              </w:rPr>
            </w:pPr>
            <w:r w:rsidRPr="0034552E">
              <w:rPr>
                <w:rFonts w:cs="DejaVu Serif" w:hint="eastAsia"/>
                <w:color w:val="000000"/>
                <w:sz w:val="21"/>
              </w:rPr>
              <w:t>4HMFNVF</w:t>
            </w:r>
          </w:p>
        </w:tc>
      </w:tr>
      <w:tr w:rsidR="00F941CF" w14:paraId="46216153" w14:textId="77777777" w:rsidTr="00E54A7D">
        <w:trPr>
          <w:jc w:val="right"/>
        </w:trPr>
        <w:tc>
          <w:tcPr>
            <w:tcW w:w="2778" w:type="dxa"/>
            <w:tcMar>
              <w:top w:w="65" w:type="dxa"/>
              <w:left w:w="120" w:type="dxa"/>
              <w:bottom w:w="65" w:type="dxa"/>
              <w:right w:w="120" w:type="dxa"/>
            </w:tcMar>
          </w:tcPr>
          <w:p w14:paraId="0782504A" w14:textId="77777777" w:rsidR="00F941CF" w:rsidRDefault="00667B8D">
            <w:pPr>
              <w:spacing w:after="0"/>
              <w:rPr>
                <w:rFonts w:hint="eastAsia"/>
              </w:rPr>
            </w:pPr>
            <w:proofErr w:type="spellStart"/>
            <w:r>
              <w:rPr>
                <w:rFonts w:cs="DejaVu Serif"/>
                <w:b/>
                <w:color w:val="000000"/>
                <w:sz w:val="21"/>
              </w:rPr>
              <w:t>Ünvan</w:t>
            </w:r>
            <w:proofErr w:type="spellEnd"/>
            <w:r>
              <w:rPr>
                <w:rFonts w:cs="DejaVu Serif"/>
                <w:b/>
                <w:color w:val="000000"/>
                <w:sz w:val="21"/>
              </w:rPr>
              <w:t>:</w:t>
            </w:r>
          </w:p>
        </w:tc>
        <w:tc>
          <w:tcPr>
            <w:tcW w:w="4819" w:type="dxa"/>
            <w:tcMar>
              <w:top w:w="65" w:type="dxa"/>
              <w:left w:w="120" w:type="dxa"/>
              <w:bottom w:w="65" w:type="dxa"/>
              <w:right w:w="120" w:type="dxa"/>
            </w:tcMar>
          </w:tcPr>
          <w:p w14:paraId="2D4EE12E" w14:textId="77777777" w:rsidR="00F941CF" w:rsidRDefault="00667B8D">
            <w:pPr>
              <w:spacing w:after="0"/>
              <w:rPr>
                <w:rFonts w:hint="eastAsia"/>
              </w:rPr>
            </w:pPr>
            <w:r>
              <w:rPr>
                <w:rFonts w:cs="DejaVu Serif"/>
                <w:color w:val="000000"/>
                <w:sz w:val="21"/>
              </w:rPr>
              <w:t>Quba rayonu, Talış kəndi</w:t>
            </w:r>
          </w:p>
        </w:tc>
      </w:tr>
      <w:tr w:rsidR="00F941CF" w14:paraId="4C3C2663" w14:textId="77777777" w:rsidTr="00E54A7D">
        <w:trPr>
          <w:jc w:val="right"/>
        </w:trPr>
        <w:tc>
          <w:tcPr>
            <w:tcW w:w="2778" w:type="dxa"/>
            <w:tcMar>
              <w:top w:w="65" w:type="dxa"/>
              <w:left w:w="120" w:type="dxa"/>
              <w:bottom w:w="65" w:type="dxa"/>
              <w:right w:w="120" w:type="dxa"/>
            </w:tcMar>
          </w:tcPr>
          <w:p w14:paraId="099F8F2A" w14:textId="77777777" w:rsidR="00F941CF" w:rsidRDefault="00667B8D">
            <w:pPr>
              <w:spacing w:after="0"/>
              <w:rPr>
                <w:rFonts w:hint="eastAsia"/>
              </w:rPr>
            </w:pPr>
            <w:r>
              <w:rPr>
                <w:rFonts w:cs="DejaVu Serif"/>
                <w:b/>
                <w:color w:val="000000"/>
                <w:sz w:val="21"/>
              </w:rPr>
              <w:t>Əlaqə telefonu:</w:t>
            </w:r>
          </w:p>
        </w:tc>
        <w:tc>
          <w:tcPr>
            <w:tcW w:w="4819" w:type="dxa"/>
            <w:tcMar>
              <w:top w:w="65" w:type="dxa"/>
              <w:left w:w="120" w:type="dxa"/>
              <w:bottom w:w="65" w:type="dxa"/>
              <w:right w:w="120" w:type="dxa"/>
            </w:tcMar>
          </w:tcPr>
          <w:p w14:paraId="4943E1D9" w14:textId="77777777" w:rsidR="00F941CF" w:rsidRDefault="00667B8D">
            <w:pPr>
              <w:spacing w:after="0"/>
              <w:rPr>
                <w:rFonts w:hint="eastAsia"/>
              </w:rPr>
            </w:pPr>
            <w:r>
              <w:rPr>
                <w:rFonts w:cs="DejaVu Serif"/>
                <w:color w:val="000000"/>
                <w:sz w:val="21"/>
              </w:rPr>
              <w:t>050 273 93 43</w:t>
            </w:r>
          </w:p>
        </w:tc>
      </w:tr>
      <w:tr w:rsidR="00F941CF" w14:paraId="6C0C1A7E" w14:textId="77777777" w:rsidTr="00E54A7D">
        <w:trPr>
          <w:jc w:val="right"/>
        </w:trPr>
        <w:tc>
          <w:tcPr>
            <w:tcW w:w="2778" w:type="dxa"/>
            <w:tcMar>
              <w:top w:w="65" w:type="dxa"/>
              <w:left w:w="120" w:type="dxa"/>
              <w:bottom w:w="65" w:type="dxa"/>
              <w:right w:w="120" w:type="dxa"/>
            </w:tcMar>
          </w:tcPr>
          <w:p w14:paraId="53B6F24D" w14:textId="77777777" w:rsidR="00F941CF" w:rsidRDefault="00667B8D">
            <w:pPr>
              <w:spacing w:after="0"/>
              <w:rPr>
                <w:rFonts w:hint="eastAsia"/>
              </w:rPr>
            </w:pPr>
            <w:proofErr w:type="spellStart"/>
            <w:r>
              <w:rPr>
                <w:rFonts w:cs="DejaVu Serif"/>
                <w:b/>
                <w:color w:val="000000"/>
                <w:sz w:val="21"/>
              </w:rPr>
              <w:t>Qərarı</w:t>
            </w:r>
            <w:proofErr w:type="spellEnd"/>
            <w:r>
              <w:rPr>
                <w:rFonts w:cs="DejaVu Serif"/>
                <w:b/>
                <w:color w:val="000000"/>
                <w:sz w:val="21"/>
              </w:rPr>
              <w:t xml:space="preserve"> </w:t>
            </w:r>
            <w:proofErr w:type="spellStart"/>
            <w:r>
              <w:rPr>
                <w:rFonts w:cs="DejaVu Serif"/>
                <w:b/>
                <w:color w:val="000000"/>
                <w:sz w:val="21"/>
              </w:rPr>
              <w:t>qəbul</w:t>
            </w:r>
            <w:proofErr w:type="spellEnd"/>
            <w:r>
              <w:rPr>
                <w:rFonts w:cs="DejaVu Serif"/>
                <w:b/>
                <w:color w:val="000000"/>
                <w:sz w:val="21"/>
              </w:rPr>
              <w:t xml:space="preserve"> </w:t>
            </w:r>
            <w:proofErr w:type="spellStart"/>
            <w:r>
              <w:rPr>
                <w:rFonts w:cs="DejaVu Serif"/>
                <w:b/>
                <w:color w:val="000000"/>
                <w:sz w:val="21"/>
              </w:rPr>
              <w:t>etmiş</w:t>
            </w:r>
            <w:proofErr w:type="spellEnd"/>
            <w:r>
              <w:rPr>
                <w:rFonts w:cs="DejaVu Serif"/>
                <w:b/>
                <w:color w:val="000000"/>
                <w:sz w:val="21"/>
              </w:rPr>
              <w:t xml:space="preserve"> </w:t>
            </w:r>
            <w:proofErr w:type="spellStart"/>
            <w:r>
              <w:rPr>
                <w:rFonts w:cs="DejaVu Serif"/>
                <w:b/>
                <w:color w:val="000000"/>
                <w:sz w:val="21"/>
              </w:rPr>
              <w:t>orqan</w:t>
            </w:r>
            <w:proofErr w:type="spellEnd"/>
            <w:r>
              <w:rPr>
                <w:rFonts w:cs="DejaVu Serif"/>
                <w:b/>
                <w:color w:val="000000"/>
                <w:sz w:val="21"/>
              </w:rPr>
              <w:t>:</w:t>
            </w:r>
          </w:p>
        </w:tc>
        <w:tc>
          <w:tcPr>
            <w:tcW w:w="4819" w:type="dxa"/>
            <w:tcMar>
              <w:top w:w="65" w:type="dxa"/>
              <w:left w:w="120" w:type="dxa"/>
              <w:bottom w:w="65" w:type="dxa"/>
              <w:right w:w="120" w:type="dxa"/>
            </w:tcMar>
          </w:tcPr>
          <w:p w14:paraId="2C7A5498" w14:textId="77777777" w:rsidR="00F941CF" w:rsidRDefault="00667B8D">
            <w:pPr>
              <w:spacing w:after="0"/>
              <w:rPr>
                <w:rFonts w:hint="eastAsia"/>
              </w:rPr>
            </w:pPr>
            <w:r>
              <w:rPr>
                <w:rFonts w:cs="DejaVu Serif"/>
                <w:color w:val="000000"/>
                <w:sz w:val="21"/>
              </w:rPr>
              <w:t>Azərbaycan Respublikası Əmək və Əhalinin Sosial Müdafiəsi Nazirliyi yanında Dövlət Əmək Müfəttişliyi Xidmətinin Quba-Xaçmaz regional şöbəsi</w:t>
            </w:r>
          </w:p>
        </w:tc>
      </w:tr>
      <w:tr w:rsidR="00F941CF" w14:paraId="5DB5602C" w14:textId="77777777" w:rsidTr="00E54A7D">
        <w:trPr>
          <w:jc w:val="right"/>
        </w:trPr>
        <w:tc>
          <w:tcPr>
            <w:tcW w:w="2778" w:type="dxa"/>
            <w:tcMar>
              <w:top w:w="65" w:type="dxa"/>
              <w:left w:w="120" w:type="dxa"/>
              <w:bottom w:w="65" w:type="dxa"/>
              <w:right w:w="120" w:type="dxa"/>
            </w:tcMar>
          </w:tcPr>
          <w:p w14:paraId="2761345C" w14:textId="77777777" w:rsidR="00F941CF" w:rsidRDefault="00667B8D">
            <w:pPr>
              <w:spacing w:after="0"/>
              <w:rPr>
                <w:rFonts w:hint="eastAsia"/>
              </w:rPr>
            </w:pPr>
            <w:r>
              <w:rPr>
                <w:rFonts w:cs="DejaVu Serif"/>
                <w:b/>
                <w:color w:val="000000"/>
                <w:sz w:val="21"/>
              </w:rPr>
              <w:t>Mübahisələndirilən qərar:</w:t>
            </w:r>
          </w:p>
        </w:tc>
        <w:tc>
          <w:tcPr>
            <w:tcW w:w="4819" w:type="dxa"/>
            <w:tcMar>
              <w:top w:w="65" w:type="dxa"/>
              <w:left w:w="120" w:type="dxa"/>
              <w:bottom w:w="65" w:type="dxa"/>
              <w:right w:w="120" w:type="dxa"/>
            </w:tcMar>
          </w:tcPr>
          <w:p w14:paraId="57226624" w14:textId="77777777" w:rsidR="00F941CF" w:rsidRDefault="00667B8D">
            <w:pPr>
              <w:spacing w:after="0"/>
              <w:rPr>
                <w:rFonts w:hint="eastAsia"/>
              </w:rPr>
            </w:pPr>
            <w:r>
              <w:rPr>
                <w:rFonts w:cs="DejaVu Serif"/>
                <w:color w:val="000000"/>
                <w:sz w:val="21"/>
              </w:rPr>
              <w:t>23.07.2026-cı il tarixli MN № 1809223 nömrəli inzibati tənbeh vermə haqqında qərar</w:t>
            </w:r>
          </w:p>
        </w:tc>
      </w:tr>
    </w:tbl>
    <w:p w14:paraId="123763CF" w14:textId="5B08238C" w:rsidR="00F941CF" w:rsidRDefault="00667B8D">
      <w:pPr>
        <w:spacing w:before="280" w:after="40"/>
        <w:jc w:val="center"/>
        <w:rPr>
          <w:rFonts w:hint="eastAsia"/>
        </w:rPr>
      </w:pPr>
      <w:r>
        <w:rPr>
          <w:rFonts w:cs="DejaVu Serif"/>
          <w:b/>
          <w:color w:val="000000"/>
          <w:sz w:val="28"/>
        </w:rPr>
        <w:t>ŞİKAYƏT</w:t>
      </w:r>
    </w:p>
    <w:p w14:paraId="71FCBE49" w14:textId="6FB645D8" w:rsidR="00F941CF" w:rsidRDefault="00667B8D">
      <w:pPr>
        <w:spacing w:after="240"/>
        <w:jc w:val="center"/>
        <w:rPr>
          <w:rFonts w:hint="eastAsia"/>
        </w:rPr>
      </w:pPr>
      <w:r>
        <w:rPr>
          <w:rFonts w:cs="DejaVu Serif"/>
          <w:i/>
          <w:color w:val="000000"/>
          <w:sz w:val="22"/>
        </w:rPr>
        <w:t>(</w:t>
      </w:r>
      <w:proofErr w:type="spellStart"/>
      <w:r w:rsidR="00A45C13">
        <w:rPr>
          <w:rFonts w:cs="DejaVu Serif"/>
          <w:i/>
          <w:color w:val="000000"/>
          <w:sz w:val="22"/>
        </w:rPr>
        <w:t>inzibati</w:t>
      </w:r>
      <w:proofErr w:type="spellEnd"/>
      <w:r w:rsidR="00A45C13">
        <w:rPr>
          <w:rFonts w:cs="DejaVu Serif"/>
          <w:i/>
          <w:color w:val="000000"/>
          <w:sz w:val="22"/>
        </w:rPr>
        <w:t xml:space="preserve"> </w:t>
      </w:r>
      <w:proofErr w:type="spellStart"/>
      <w:r w:rsidR="00A45C13">
        <w:rPr>
          <w:rFonts w:cs="DejaVu Serif"/>
          <w:i/>
          <w:color w:val="000000"/>
          <w:sz w:val="22"/>
        </w:rPr>
        <w:t>xəta</w:t>
      </w:r>
      <w:proofErr w:type="spellEnd"/>
      <w:r w:rsidR="00A45C13">
        <w:rPr>
          <w:rFonts w:cs="DejaVu Serif"/>
          <w:i/>
          <w:color w:val="000000"/>
          <w:sz w:val="22"/>
        </w:rPr>
        <w:t xml:space="preserve"> </w:t>
      </w:r>
      <w:proofErr w:type="spellStart"/>
      <w:r w:rsidR="00A45C13">
        <w:rPr>
          <w:rFonts w:cs="DejaVu Serif"/>
          <w:i/>
          <w:color w:val="000000"/>
          <w:sz w:val="22"/>
        </w:rPr>
        <w:t>haqqında</w:t>
      </w:r>
      <w:proofErr w:type="spellEnd"/>
      <w:r w:rsidR="00A45C13">
        <w:rPr>
          <w:rFonts w:cs="DejaVu Serif"/>
          <w:i/>
          <w:color w:val="000000"/>
          <w:sz w:val="22"/>
        </w:rPr>
        <w:t xml:space="preserve"> </w:t>
      </w:r>
      <w:proofErr w:type="spellStart"/>
      <w:r>
        <w:rPr>
          <w:rFonts w:cs="DejaVu Serif"/>
          <w:i/>
          <w:color w:val="000000"/>
          <w:sz w:val="22"/>
        </w:rPr>
        <w:t>qərarın</w:t>
      </w:r>
      <w:proofErr w:type="spellEnd"/>
      <w:r>
        <w:rPr>
          <w:rFonts w:cs="DejaVu Serif"/>
          <w:i/>
          <w:color w:val="000000"/>
          <w:sz w:val="22"/>
        </w:rPr>
        <w:t xml:space="preserve"> </w:t>
      </w:r>
      <w:proofErr w:type="spellStart"/>
      <w:r>
        <w:rPr>
          <w:rFonts w:cs="DejaVu Serif"/>
          <w:i/>
          <w:color w:val="000000"/>
          <w:sz w:val="22"/>
        </w:rPr>
        <w:t>ləğv</w:t>
      </w:r>
      <w:proofErr w:type="spellEnd"/>
      <w:r>
        <w:rPr>
          <w:rFonts w:cs="DejaVu Serif"/>
          <w:i/>
          <w:color w:val="000000"/>
          <w:sz w:val="22"/>
        </w:rPr>
        <w:t xml:space="preserve"> </w:t>
      </w:r>
      <w:proofErr w:type="spellStart"/>
      <w:r>
        <w:rPr>
          <w:rFonts w:cs="DejaVu Serif"/>
          <w:i/>
          <w:color w:val="000000"/>
          <w:sz w:val="22"/>
        </w:rPr>
        <w:t>edilməsi</w:t>
      </w:r>
      <w:proofErr w:type="spellEnd"/>
      <w:r>
        <w:rPr>
          <w:rFonts w:cs="DejaVu Serif"/>
          <w:i/>
          <w:color w:val="000000"/>
          <w:sz w:val="22"/>
        </w:rPr>
        <w:t xml:space="preserve"> </w:t>
      </w:r>
      <w:proofErr w:type="spellStart"/>
      <w:r>
        <w:rPr>
          <w:rFonts w:cs="DejaVu Serif"/>
          <w:i/>
          <w:color w:val="000000"/>
          <w:sz w:val="22"/>
        </w:rPr>
        <w:t>və</w:t>
      </w:r>
      <w:proofErr w:type="spellEnd"/>
      <w:r>
        <w:rPr>
          <w:rFonts w:cs="DejaVu Serif"/>
          <w:i/>
          <w:color w:val="000000"/>
          <w:sz w:val="22"/>
        </w:rPr>
        <w:t xml:space="preserve"> </w:t>
      </w:r>
      <w:proofErr w:type="spellStart"/>
      <w:r>
        <w:rPr>
          <w:rFonts w:cs="DejaVu Serif"/>
          <w:i/>
          <w:color w:val="000000"/>
          <w:sz w:val="22"/>
        </w:rPr>
        <w:t>iş</w:t>
      </w:r>
      <w:proofErr w:type="spellEnd"/>
      <w:r>
        <w:rPr>
          <w:rFonts w:cs="DejaVu Serif"/>
          <w:i/>
          <w:color w:val="000000"/>
          <w:sz w:val="22"/>
        </w:rPr>
        <w:t xml:space="preserve"> üzrə icraata xitam verilməsi barədə)</w:t>
      </w:r>
    </w:p>
    <w:p w14:paraId="081CD84E" w14:textId="77777777" w:rsidR="00F941CF" w:rsidRDefault="00667B8D">
      <w:pPr>
        <w:pStyle w:val="1"/>
      </w:pPr>
      <w:r>
        <w:t>I. Şikayətin predmeti və qısa faktlar</w:t>
      </w:r>
    </w:p>
    <w:p w14:paraId="55A2DD76" w14:textId="77777777" w:rsidR="00F941CF" w:rsidRDefault="00667B8D">
      <w:pPr>
        <w:ind w:firstLine="454"/>
        <w:jc w:val="both"/>
        <w:rPr>
          <w:rFonts w:hint="eastAsia"/>
        </w:rPr>
      </w:pPr>
      <w:r>
        <w:rPr>
          <w:rFonts w:cs="DejaVu Serif"/>
          <w:color w:val="000000"/>
        </w:rPr>
        <w:t>Dövlət Əmək Müfəttişliyi Xidmətinin Quba-Xaçmaz regional şöbəsinin səlahiyyətli vəzifəli şəxsi tərəfindən 23 iyul 2026-cı il tarixdə MN № 1809223 nömrəli qərar qəbul edilmiş, mən Azərbaycan Respublikası İnzibati Xətalar Məcəlləsinin (bundan sonra - İXM) 192.1-ci maddəsi ilə təqsirli bilinərək “vəzifəli şəxs” üçün nəzərdə tutulmuş sanksiya çərçivəsində 4 000 (dörd min) manat inzibati cərimə edilmişəm.</w:t>
      </w:r>
    </w:p>
    <w:p w14:paraId="6416C963" w14:textId="77777777" w:rsidR="00F941CF" w:rsidRDefault="00667B8D">
      <w:pPr>
        <w:ind w:firstLine="454"/>
        <w:jc w:val="both"/>
        <w:rPr>
          <w:rFonts w:hint="eastAsia"/>
        </w:rPr>
      </w:pPr>
      <w:r>
        <w:rPr>
          <w:rFonts w:cs="DejaVu Serif"/>
          <w:color w:val="000000"/>
        </w:rPr>
        <w:t>Qərarda Xəzər Rayon Prokurorluğunun 13.07.2026-cı il tarixli, 2-2-312/C-262/25 nömrəli materialına istinad edilmiş və 25.07.2025-ci il tarixdə fərdi yaşayış evinin tikintisində qərarda adları göstərilən şəxslərin əmək müqaviləsi hüquqi qüvvəyə minmədən işlərin görülməsinə cəlb olunduğu nəticəsinə gəlinmişdir. Lakin həmin nəticəni təsdiq edən konkret sübutlar, əmək münasibətlərinin faktiki və hüquqi əlamətləri, mənim “işəgötürən” və məhz “vəzifəli şəxs” statusum, eləcə də cərimə məbləğinin seçilməsinin səbəbləri qərarda açıqlanmamışdır.</w:t>
      </w:r>
    </w:p>
    <w:p w14:paraId="5938CCC8" w14:textId="77777777" w:rsidR="00F941CF" w:rsidRDefault="00667B8D">
      <w:pPr>
        <w:ind w:firstLine="454"/>
        <w:jc w:val="both"/>
        <w:rPr>
          <w:rFonts w:hint="eastAsia"/>
        </w:rPr>
      </w:pPr>
      <w:r>
        <w:rPr>
          <w:rFonts w:cs="DejaVu Serif"/>
          <w:color w:val="000000"/>
        </w:rPr>
        <w:t>Qərar qanunsuz və əsassız olduğundan, İXM-in 128-135-ci maddələrinə əsasən aşağıdakı əsaslarla ləğv edilməlidir.</w:t>
      </w:r>
    </w:p>
    <w:p w14:paraId="7314EB1F" w14:textId="77777777" w:rsidR="00F941CF" w:rsidRDefault="00667B8D">
      <w:pPr>
        <w:pStyle w:val="1"/>
      </w:pPr>
      <w:r>
        <w:t>II. Şikayətin hüquqi əsasları</w:t>
      </w:r>
    </w:p>
    <w:p w14:paraId="048CF5A2" w14:textId="77777777" w:rsidR="00F941CF" w:rsidRDefault="00667B8D">
      <w:pPr>
        <w:pStyle w:val="2"/>
      </w:pPr>
      <w:r>
        <w:t>1. İXM-in 192.1-ci maddəsi üzrə xəta tərkibinin zəruri əlamətləri sübuta yetirilməyib</w:t>
      </w:r>
    </w:p>
    <w:p w14:paraId="2EB7F496" w14:textId="77777777" w:rsidR="00F941CF" w:rsidRDefault="00667B8D">
      <w:pPr>
        <w:ind w:firstLine="454"/>
        <w:jc w:val="both"/>
        <w:rPr>
          <w:rFonts w:hint="eastAsia"/>
        </w:rPr>
      </w:pPr>
      <w:r>
        <w:rPr>
          <w:rFonts w:cs="DejaVu Serif"/>
          <w:color w:val="000000"/>
        </w:rPr>
        <w:t xml:space="preserve">İXM-in 192.1-ci maddəsinin dispozisiyası əmək müqaviləsi hüquqi qüvvəyə minmədən məhz işəgötürən tərəfindən fiziki şəxslərin hər hansı işlərin (xidmətlərin) yerinə yetirilməsinə cəlb edilməsini məsuliyyətin əsası kimi müəyyən edir. Buna görə həmin maddənin tətbiqi üçün ən azı (i) işəgötürən statusu, (ii) konkret şəxslə əmək münasibətinin mövcudluğu, (iii) əmək funksiyasının şəxsən və işəgötürənin idarəetmə-nəzarəti altında yerinə yetirilməsi, (iv) əməkhaqqı, iş vaxtı, davamlılıq, daxili intizam və digər tabelilik </w:t>
      </w:r>
      <w:r>
        <w:rPr>
          <w:rFonts w:cs="DejaVu Serif"/>
          <w:color w:val="000000"/>
        </w:rPr>
        <w:lastRenderedPageBreak/>
        <w:t>əlamətləri, (v) müqavilənin hüquqi qüvvəyə minmədən işə başlanması və (vi) təqsir sübut edilməlidir.</w:t>
      </w:r>
    </w:p>
    <w:p w14:paraId="622EE2D3" w14:textId="77777777" w:rsidR="00F941CF" w:rsidRDefault="00667B8D">
      <w:pPr>
        <w:ind w:firstLine="454"/>
        <w:jc w:val="both"/>
        <w:rPr>
          <w:rFonts w:hint="eastAsia"/>
        </w:rPr>
      </w:pPr>
      <w:r>
        <w:rPr>
          <w:rFonts w:cs="DejaVu Serif"/>
          <w:color w:val="000000"/>
        </w:rPr>
        <w:t>Fərdi yaşayış evinin tikintisində şəxsin müəyyən iş görməsi öz-özlüyündə əmək münasibəti və həmin şəxsi işə cəlb edən hər kəsin işəgötürən olması demək deyil. Podrat, xidmət, birdəfəlik tapşırıq və ya başqa mülki-hüquqi münasibətlə əmək münasibətini ayıran faktlar ayrıca araşdırılmalıdır. Mübahisələndirilən qərarda işin müddəti, əmək funksiyası, əməkhaqqı və ödəniş qaydası, iş rejimi, tabelilik, göstəriş vermək və intizam tədbiri tətbiq etmək səlahiyyəti, iş yerinin və əmək vasitələrinin kim tərəfindən təmin edilməsi, habelə işin nəticəsinin, yoxsa əmək prosesinin predmet olması müəyyən edilməyib.</w:t>
      </w:r>
    </w:p>
    <w:p w14:paraId="3BC0ABAB" w14:textId="77777777" w:rsidR="00F941CF" w:rsidRDefault="00667B8D">
      <w:pPr>
        <w:ind w:firstLine="454"/>
        <w:jc w:val="both"/>
        <w:rPr>
          <w:rFonts w:hint="eastAsia"/>
        </w:rPr>
      </w:pPr>
      <w:r>
        <w:rPr>
          <w:rFonts w:cs="DejaVu Serif"/>
          <w:color w:val="000000"/>
        </w:rPr>
        <w:t>Beləliklə, qərarda yalnız yekun hüquqi nəticə təkrar olunmuş, həmin nəticəni doğuran faktiki baza göstərilməmişdir. İXM-in 3, 8, 75 və 76-cı maddələrinin mənasına görə xəta hadisəsi, xətanı törətmiş şəxs və təqsir ittihamı irəli sürən orqan tərəfindən mötəbər, mümkün və bir-birini tamamlayan sübutlarla təsdiq edilməli, aradan qaldırılmamış şübhələr isə mənim xeyrimə həll olunmalıdır.</w:t>
      </w:r>
    </w:p>
    <w:p w14:paraId="698691FD" w14:textId="77777777" w:rsidR="00F941CF" w:rsidRDefault="00667B8D">
      <w:pPr>
        <w:pStyle w:val="2"/>
      </w:pPr>
      <w:r>
        <w:t>2. “Vəzifəli şəxs” statusu və 4 000 manatlıq sanksiyanın subyekti əsaslandırılmayıb</w:t>
      </w:r>
    </w:p>
    <w:p w14:paraId="6A9B9310" w14:textId="77777777" w:rsidR="00F941CF" w:rsidRDefault="00667B8D">
      <w:pPr>
        <w:ind w:firstLine="454"/>
        <w:jc w:val="both"/>
        <w:rPr>
          <w:rFonts w:hint="eastAsia"/>
        </w:rPr>
      </w:pPr>
      <w:r>
        <w:rPr>
          <w:rFonts w:cs="DejaVu Serif"/>
          <w:color w:val="000000"/>
        </w:rPr>
        <w:t>İXM-in 192.1-ci maddəsi fiziki şəxslər, vəzifəli şəxslər və hüquqi şəxslər üçün fərqli cərimə hədləri müəyyən edir: fiziki şəxslər üçün 1 000-2 000 manat, vəzifəli şəxslər üçün 3 000-5 000 manat, hüquqi şəxslər üçün 20 000-25 000 manat. Buna görə inzibati məsuliyyət subyektinin düzgün müəyyən edilməsi işin nəticəsinə birbaşa təsir edən zəruri haldır.</w:t>
      </w:r>
    </w:p>
    <w:p w14:paraId="6D65CC30" w14:textId="77777777" w:rsidR="00F941CF" w:rsidRDefault="00667B8D">
      <w:pPr>
        <w:ind w:firstLine="454"/>
        <w:jc w:val="both"/>
        <w:rPr>
          <w:rFonts w:hint="eastAsia"/>
        </w:rPr>
      </w:pPr>
      <w:r>
        <w:rPr>
          <w:rFonts w:cs="DejaVu Serif"/>
          <w:color w:val="000000"/>
        </w:rPr>
        <w:t>İXM-in 17-ci maddəsinə görə vəzifəli şəxsin məsuliyyəti onun vəzifələrinin yerinə yetirilməməsi və ya lazımınca yerinə yetirilməməsi ilə bağlı olmalıdır. Həmin maddənin qeydində hüquqi şəxs yaratmadan sahibkarlıq fəaliyyəti ilə məşğul olan fiziki şəxsin yalnız təşkilati-sərəncamverici və ya inzibati-təsərrüfat səlahiyyətlərini faktiki yerinə yetirdiyi halda vəzifəli şəxs sayılması nəzərdə tutulur.</w:t>
      </w:r>
    </w:p>
    <w:p w14:paraId="7557458B" w14:textId="77777777" w:rsidR="00F941CF" w:rsidRDefault="00667B8D">
      <w:pPr>
        <w:ind w:firstLine="454"/>
        <w:jc w:val="both"/>
        <w:rPr>
          <w:rFonts w:hint="eastAsia"/>
        </w:rPr>
      </w:pPr>
      <w:r>
        <w:rPr>
          <w:rFonts w:cs="DejaVu Serif"/>
          <w:color w:val="000000"/>
        </w:rPr>
        <w:t>Qərarda mənim hansı təşkilatda və ya sahibkarlıq fəaliyyətində hansı vəzifəni tutduğum, hansı təşkilati-sərəncamverici və ya inzibati-təsərrüfat səlahiyyətinə malik olduğum, həmin səlahiyyətin mübahisəli hadisə ilə əlaqəsi və hansı hüquqi şəxs və ya təsərrüfat subyekti adından hərəkət etdiyim göstərilməyib. Qərarda VÖEN-in qeyd edilməsi bu halların sübutu sayıla bilməz. Status sübuta yetirilmədən vəzifəli şəxslər üçün nəzərdə tutulan sanksiyanın tətbiqi İXM-in 192.1-ci maddəsinin və məsuliyyət subyekti barədə normanın düzgün tətbiq edilməməsidir.</w:t>
      </w:r>
    </w:p>
    <w:p w14:paraId="3013EC4B" w14:textId="77777777" w:rsidR="00F941CF" w:rsidRDefault="00667B8D">
      <w:pPr>
        <w:pStyle w:val="2"/>
      </w:pPr>
      <w:r>
        <w:t>3. Qərar sübutların məzmununu və qiymətləndirilməsini əks etdirmir</w:t>
      </w:r>
    </w:p>
    <w:p w14:paraId="075CCA66" w14:textId="77777777" w:rsidR="00F941CF" w:rsidRDefault="00667B8D">
      <w:pPr>
        <w:ind w:firstLine="454"/>
        <w:jc w:val="both"/>
        <w:rPr>
          <w:rFonts w:hint="eastAsia"/>
        </w:rPr>
      </w:pPr>
      <w:r>
        <w:rPr>
          <w:rFonts w:cs="DejaVu Serif"/>
          <w:color w:val="000000"/>
        </w:rPr>
        <w:t>İXM-in 75.0-cı maddəsi xəta hadisəsinin, xətanı törətmiş şəxsin, təqsirin, yüngülləşdirən və ağırlaşdıran halların, habelə işin düzgün həlli üçün əhəmiyyətli olan digər halların müəyyən edilməsini tələb edir. İXM-in 76.1-ci maddəsi sübutların mümkün növlərini müəyyən edir, 84.1-ci maddə isə sübutların işin bütün hallarının məcmusu əsasında hərtərəfli, tam və obyektiv qiymətləndirilməsini tələb edir.</w:t>
      </w:r>
    </w:p>
    <w:p w14:paraId="0DCD53AB" w14:textId="77777777" w:rsidR="00F941CF" w:rsidRDefault="00667B8D">
      <w:pPr>
        <w:ind w:firstLine="454"/>
        <w:jc w:val="both"/>
        <w:rPr>
          <w:rFonts w:hint="eastAsia"/>
        </w:rPr>
      </w:pPr>
      <w:r>
        <w:rPr>
          <w:rFonts w:cs="DejaVu Serif"/>
          <w:color w:val="000000"/>
        </w:rPr>
        <w:t xml:space="preserve">Mübahisələndirilən qərarda “işin digər materiallarına baxılaraq” ifadəsindən başqa hansı sübutun tədqiq edildiyi və həmin sübutun konkret olaraq hansı halı təsdiqlədiyi göstərilməyib. Şahid və ya iş gördüyü iddia edilən şəxslərin izahatlarının məzmunu, </w:t>
      </w:r>
      <w:r>
        <w:rPr>
          <w:rFonts w:cs="DejaVu Serif"/>
          <w:color w:val="000000"/>
        </w:rPr>
        <w:lastRenderedPageBreak/>
        <w:t>obyektin mülkiyyətçisi və sifarişçisi, müqavilə və ödəniş sənədləri, əmək münasibətlərinə xas tabelilik barədə məlumatlar, elektron əmək sistemi üzrə yoxlamanın nəticəsi və mənim izahatım qərarda təhlil edilməyib. Sübutların sadəcə iş materialında mövcud olması onların qiymətləndirildiyi anlamına gəlmir.</w:t>
      </w:r>
    </w:p>
    <w:p w14:paraId="190F8BD5" w14:textId="77777777" w:rsidR="00F941CF" w:rsidRDefault="00667B8D">
      <w:pPr>
        <w:ind w:firstLine="454"/>
        <w:jc w:val="both"/>
        <w:rPr>
          <w:rFonts w:hint="eastAsia"/>
        </w:rPr>
      </w:pPr>
      <w:r>
        <w:rPr>
          <w:rFonts w:cs="DejaVu Serif"/>
          <w:color w:val="000000"/>
        </w:rPr>
        <w:t>Konstitusiya Məhkəməsi Plenumunun inzibati xəta icraatına dair hüquqi mövqeyinə görə səlahiyyətli orqanın qərarı şikayət icraatında ittiham yönümlü prosessual sənəd kimi çıxış edir və onun qanuniliyi və əsaslılığı məhz qərarın məzmunu, iş materialları və əlavə sübutlar əsasında yoxlanılır. Qərarın özündə ittihamın faktiki sərhədləri və sübut əsası aydın göstərilmədikdə müdafiənin predmeti qeyri-müəyyən qalır.</w:t>
      </w:r>
    </w:p>
    <w:p w14:paraId="04743383" w14:textId="77777777" w:rsidR="00F941CF" w:rsidRDefault="00667B8D">
      <w:pPr>
        <w:pStyle w:val="2"/>
      </w:pPr>
      <w:r>
        <w:t>4. Qərarın məzmunu İXM-in 115-ci maddəsinin tələblərinə cavab vermir</w:t>
      </w:r>
    </w:p>
    <w:p w14:paraId="78E8E6DA" w14:textId="77777777" w:rsidR="00F941CF" w:rsidRDefault="00667B8D">
      <w:pPr>
        <w:ind w:firstLine="454"/>
        <w:jc w:val="both"/>
        <w:rPr>
          <w:rFonts w:hint="eastAsia"/>
        </w:rPr>
      </w:pPr>
      <w:r>
        <w:rPr>
          <w:rFonts w:cs="DejaVu Serif"/>
          <w:color w:val="000000"/>
        </w:rPr>
        <w:t>İXM-in 115.1.4-cü maddəsinə əsasən qərarda işə baxılarkən müəyyən edilmiş hallar göstərilməlidir. Bu tələb yalnız nəticənin yazılmasını deyil, inzibati xəta tərkibinin hər bir zəruri əlaməti üzrə müəyyən olunmuş faktların və qərarın əsaslandığı sübutların aydın ifadəsini ehtiva edir. Hazırkı qərar həmin tələbi formal olaraq deyil, mahiyyət etibarilə pozur: əmək münasibətinin və işəgötürən statusunun hansı faktlardan çıxarıldığı, əks mövqenin niyə qəbul edilmədiyi, sübutlar arasındakı mümkün ziddiyyətlərin necə həll olunduğu göstərilməyib.</w:t>
      </w:r>
    </w:p>
    <w:p w14:paraId="19ED373A" w14:textId="77777777" w:rsidR="00F941CF" w:rsidRDefault="00667B8D">
      <w:pPr>
        <w:ind w:firstLine="454"/>
        <w:jc w:val="both"/>
        <w:rPr>
          <w:rFonts w:hint="eastAsia"/>
        </w:rPr>
      </w:pPr>
      <w:r>
        <w:rPr>
          <w:rFonts w:cs="DejaVu Serif"/>
          <w:color w:val="000000"/>
        </w:rPr>
        <w:t>İXM-in 106.0.3 və 106.0.4-cü maddələrinə görə işə baxan vəzifəli şəxs prokurorun qərarının və digər materialların qanunun tələblərinə uyğun tərtib olunmasını, eləcə də icraatı rədd edən halların mövcudluğunu yoxlamalı idi. Bu yoxlamanın aparıldığı və mümkün çatışmazlıqların aradan qaldırıldığı qərardan görünmür.</w:t>
      </w:r>
    </w:p>
    <w:p w14:paraId="3C6C73A1" w14:textId="77777777" w:rsidR="00F941CF" w:rsidRDefault="00667B8D">
      <w:pPr>
        <w:pStyle w:val="2"/>
      </w:pPr>
      <w:r>
        <w:t>5. Müdafiə hüququ və lazımi bildiriş məsələsi iş materialları üzrə yoxlanılmalıdır</w:t>
      </w:r>
    </w:p>
    <w:p w14:paraId="279CACE0" w14:textId="77777777" w:rsidR="00F941CF" w:rsidRDefault="00667B8D">
      <w:pPr>
        <w:ind w:firstLine="454"/>
        <w:jc w:val="both"/>
        <w:rPr>
          <w:rFonts w:hint="eastAsia"/>
        </w:rPr>
      </w:pPr>
      <w:r>
        <w:rPr>
          <w:rFonts w:cs="DejaVu Serif"/>
          <w:color w:val="000000"/>
        </w:rPr>
        <w:t>İXM-in 61.1-ci maddəsi iş materialları ilə tanış olmaq, izahat və sübut təqdim etmək, vəsatət vermək və müdafiəçinin yardımından istifadə etmək hüquqlarını təmin edir. İXM-in 61.3-cü maddəsinə görə işə şəxsin iştirakı olmadan yalnız baxılma yeri və vaxtının ona vaxtında bildirilməsi barədə məlumat olduqda və təxirəsalma barədə vəsatət verilmədikdə (və ya rədd edildikdə) baxıla bilər. Bildiriş isə İXM-in 57-ci maddəsindəki rəsmi təqdimetmə qaydalarına uyğun çatdırılmalı, təqdimetməni təsdiq edən qəbz və ya digər mötəbər sənəd işə əlavə edilməlidir.</w:t>
      </w:r>
    </w:p>
    <w:p w14:paraId="40A0C87E" w14:textId="77777777" w:rsidR="00F941CF" w:rsidRDefault="00667B8D">
      <w:pPr>
        <w:ind w:firstLine="454"/>
        <w:jc w:val="both"/>
        <w:rPr>
          <w:rFonts w:hint="eastAsia"/>
        </w:rPr>
      </w:pPr>
      <w:r>
        <w:rPr>
          <w:rFonts w:cs="DejaVu Serif"/>
          <w:color w:val="000000"/>
        </w:rPr>
        <w:t>Təqdim edilmiş sənədlər arasında 14.07.2026-cı il tarixli bildiriş olsa da, onun mənə hansı tarixdə və İXM-in 57-ci maddəsində nəzərdə tutulmuş hansı qaydada verildiyini təsdiq edən qəbz görünmür. Qərarda da mənim iclasda iştirak edib-etmədiyim, hüquqlarımın izah olunub-olunmadığı, izahat və vəsatətlərimin olub-olmadığı göstərilməyib. Buna görə məhkəmədən bildirişin rəsmi təqdim edilməsinə dair sübutların və baxış zamanı tərtib edilmiş sənədlərin tam şəkildə tələb olunması xahiş edilir. Belə sübutlar olmadıqda, işə mənim iştirakım olmadan baxılması müdafiə hüququnun pozulması sayılmalıdır.</w:t>
      </w:r>
    </w:p>
    <w:p w14:paraId="73386FAC" w14:textId="77777777" w:rsidR="00F941CF" w:rsidRDefault="00667B8D">
      <w:pPr>
        <w:pStyle w:val="2"/>
      </w:pPr>
      <w:r>
        <w:t>6. Tənbehin fərdiləşdirilməsi və 4 000 manat məbləğinin seçilməsi əsaslandırılmayıb</w:t>
      </w:r>
    </w:p>
    <w:p w14:paraId="57211AE2" w14:textId="77777777" w:rsidR="00F941CF" w:rsidRDefault="00667B8D">
      <w:pPr>
        <w:ind w:firstLine="454"/>
        <w:jc w:val="both"/>
        <w:rPr>
          <w:rFonts w:hint="eastAsia"/>
        </w:rPr>
      </w:pPr>
      <w:r>
        <w:rPr>
          <w:rFonts w:cs="DejaVu Serif"/>
          <w:color w:val="000000"/>
        </w:rPr>
        <w:t xml:space="preserve">İXM-in 31.2-ci maddəsinə görə fiziki və ya vəzifəli şəxs barəsində inzibati tənbeh tətbiq edilərkən xətanın xarakteri, şəxsi xarakterizə edən hallar, təqsirin dərəcəsi, əmlak vəziyyəti, məsuliyyəti yüngülləşdirən və ağırlaşdıran hallar nəzərə alınmalıdır. Qərarda bu </w:t>
      </w:r>
      <w:r>
        <w:rPr>
          <w:rFonts w:cs="DejaVu Serif"/>
          <w:color w:val="000000"/>
        </w:rPr>
        <w:lastRenderedPageBreak/>
        <w:t>hallardan heç biri qiymətləndirilməyib və sanksiyanın orta həddində 4 000 manat cərimənin niyə seçildiyi izah olunmayıb. Bu, İXM-in 9-cu maddəsindəki ədalətlilik prinsipinə və 31.2-ci maddəyə uyğun deyil.</w:t>
      </w:r>
    </w:p>
    <w:p w14:paraId="2C11449E" w14:textId="77777777" w:rsidR="00F941CF" w:rsidRDefault="00667B8D">
      <w:pPr>
        <w:pStyle w:val="1"/>
      </w:pPr>
      <w:r>
        <w:t>III. Qərarın ləğvi üçün prosessual əsaslar</w:t>
      </w:r>
    </w:p>
    <w:p w14:paraId="2D82262F" w14:textId="77777777" w:rsidR="00F941CF" w:rsidRDefault="00667B8D">
      <w:pPr>
        <w:ind w:firstLine="454"/>
        <w:jc w:val="both"/>
        <w:rPr>
          <w:rFonts w:hint="eastAsia"/>
        </w:rPr>
      </w:pPr>
      <w:r>
        <w:rPr>
          <w:rFonts w:cs="DejaVu Serif"/>
          <w:color w:val="000000"/>
        </w:rPr>
        <w:t>Yuxarıda göstərilən çatışmazlıqlar İXM-in 135.1.1-ci (mühüm faktiki halların araşdırılmaması), 135.1.2-ci (nəticələrin faktiki hallara uyğun olmaması), 135.1.3-cü (əhəmiyyətli halların sübuta yetirilməməsi), 135.1.4-cü (məsuliyyət müəyyən edən normanın düzgün tətbiq edilməməsi), 135.1.5-ci (tənbehin 31-34-cü maddələrə uyğun olmaması) və 135.1.6-cı (hərtərəfli, tam və obyektiv araşdırmaya mane olan prosessual pozuntular) maddələrində nəzərdə tutulmuş ləğv və dəyişdirmə əsaslarını yaradır.</w:t>
      </w:r>
    </w:p>
    <w:p w14:paraId="74FFA92B" w14:textId="77777777" w:rsidR="00F941CF" w:rsidRDefault="00667B8D">
      <w:pPr>
        <w:ind w:firstLine="454"/>
        <w:jc w:val="both"/>
        <w:rPr>
          <w:rFonts w:hint="eastAsia"/>
        </w:rPr>
      </w:pPr>
      <w:r>
        <w:rPr>
          <w:rFonts w:cs="DejaVu Serif"/>
          <w:color w:val="000000"/>
        </w:rPr>
        <w:t>İXM-in 53.0.2-ci maddəsinə görə inzibati xəta tərkibi olmadıqda başlanmış icraata xitam verilir. Qərarda və təqdim edilmiş sənədlərdə mənim əməlində İXM-in 192.1-ci maddəsi üzrə xəta tərkibinin bütün əlamətlərini təsdiq edən kifayət qədər sübut göstərilmədiyindən, qərar İXM-in 134.1.3-cü maddəsinə əsasən ləğv edilməli və iş üzrə icraata xitam verilməlidir. Məhkəmə xitam üçün sübutları yetərli hesab etməzsə, alternativ olaraq qərar İXM-in 134.1.4-cü maddəsinə əsasən ləğv edilməli və iş yenidən baxılmaq üçün səlahiyyətli orqana göndərilməlidir.</w:t>
      </w:r>
    </w:p>
    <w:p w14:paraId="0F09DD7F" w14:textId="77777777" w:rsidR="00F941CF" w:rsidRDefault="00667B8D">
      <w:pPr>
        <w:pStyle w:val="1"/>
      </w:pPr>
      <w:r>
        <w:t>IV. Şikayət müddəti və aidiyyət</w:t>
      </w:r>
    </w:p>
    <w:p w14:paraId="088302D1" w14:textId="5D3E3418" w:rsidR="00F941CF" w:rsidRDefault="00667B8D">
      <w:pPr>
        <w:ind w:firstLine="454"/>
        <w:jc w:val="both"/>
        <w:rPr>
          <w:rFonts w:hint="eastAsia"/>
        </w:rPr>
      </w:pPr>
      <w:r>
        <w:rPr>
          <w:rFonts w:cs="DejaVu Serif"/>
          <w:color w:val="000000"/>
        </w:rPr>
        <w:t xml:space="preserve">İXM-in 129.1.3-cü maddəsinə görə səlahiyyətli orqanın (vəzifəli şəxsin) qərarından məhkəməyə verilən şikayət şikayət verən şəxsin yaşayış yeri üzrə rayon (şəhər) məhkəməsinə təqdim edilir. </w:t>
      </w:r>
    </w:p>
    <w:p w14:paraId="250FCFD0" w14:textId="0EA50139" w:rsidR="00F941CF" w:rsidRDefault="00667B8D">
      <w:pPr>
        <w:ind w:firstLine="454"/>
        <w:jc w:val="both"/>
        <w:rPr>
          <w:rFonts w:hint="eastAsia"/>
        </w:rPr>
      </w:pPr>
      <w:proofErr w:type="spellStart"/>
      <w:r>
        <w:rPr>
          <w:rFonts w:cs="DejaVu Serif"/>
          <w:color w:val="000000"/>
        </w:rPr>
        <w:t>Qərarın</w:t>
      </w:r>
      <w:proofErr w:type="spellEnd"/>
      <w:r>
        <w:rPr>
          <w:rFonts w:cs="DejaVu Serif"/>
          <w:color w:val="000000"/>
        </w:rPr>
        <w:t xml:space="preserve"> </w:t>
      </w:r>
      <w:proofErr w:type="spellStart"/>
      <w:r>
        <w:rPr>
          <w:rFonts w:cs="DejaVu Serif"/>
          <w:color w:val="000000"/>
        </w:rPr>
        <w:t>surəti</w:t>
      </w:r>
      <w:proofErr w:type="spellEnd"/>
      <w:r>
        <w:rPr>
          <w:rFonts w:cs="DejaVu Serif"/>
          <w:color w:val="000000"/>
        </w:rPr>
        <w:t xml:space="preserve"> </w:t>
      </w:r>
      <w:proofErr w:type="spellStart"/>
      <w:r>
        <w:rPr>
          <w:rFonts w:cs="DejaVu Serif"/>
          <w:color w:val="000000"/>
        </w:rPr>
        <w:t>mənə</w:t>
      </w:r>
      <w:proofErr w:type="spellEnd"/>
      <w:r>
        <w:rPr>
          <w:rFonts w:cs="DejaVu Serif"/>
          <w:color w:val="000000"/>
        </w:rPr>
        <w:t xml:space="preserve"> </w:t>
      </w:r>
      <w:proofErr w:type="spellStart"/>
      <w:r>
        <w:rPr>
          <w:rFonts w:cs="DejaVu Serif"/>
          <w:color w:val="000000"/>
        </w:rPr>
        <w:t>rəsmi</w:t>
      </w:r>
      <w:proofErr w:type="spellEnd"/>
      <w:r>
        <w:rPr>
          <w:rFonts w:cs="DejaVu Serif"/>
          <w:color w:val="000000"/>
        </w:rPr>
        <w:t xml:space="preserve"> </w:t>
      </w:r>
      <w:proofErr w:type="spellStart"/>
      <w:r>
        <w:rPr>
          <w:rFonts w:cs="DejaVu Serif"/>
          <w:color w:val="000000"/>
        </w:rPr>
        <w:t>qaydada</w:t>
      </w:r>
      <w:proofErr w:type="spellEnd"/>
      <w:r>
        <w:rPr>
          <w:rFonts w:cs="DejaVu Serif"/>
          <w:color w:val="000000"/>
        </w:rPr>
        <w:t xml:space="preserve"> </w:t>
      </w:r>
      <w:proofErr w:type="spellStart"/>
      <w:r w:rsidR="006C1A00" w:rsidRPr="006C1A00">
        <w:rPr>
          <w:rFonts w:cs="DejaVu Serif"/>
          <w:color w:val="000000"/>
        </w:rPr>
        <w:t>avqustun</w:t>
      </w:r>
      <w:proofErr w:type="spellEnd"/>
      <w:r w:rsidR="006C1A00" w:rsidRPr="006C1A00">
        <w:rPr>
          <w:rFonts w:cs="DejaVu Serif"/>
          <w:color w:val="000000"/>
        </w:rPr>
        <w:t xml:space="preserve"> 14-ü </w:t>
      </w:r>
      <w:proofErr w:type="spellStart"/>
      <w:r>
        <w:rPr>
          <w:rFonts w:cs="DejaVu Serif"/>
          <w:color w:val="000000"/>
        </w:rPr>
        <w:t>tarixdə</w:t>
      </w:r>
      <w:proofErr w:type="spellEnd"/>
      <w:r>
        <w:rPr>
          <w:rFonts w:cs="DejaVu Serif"/>
          <w:color w:val="000000"/>
        </w:rPr>
        <w:t xml:space="preserve"> </w:t>
      </w:r>
      <w:proofErr w:type="spellStart"/>
      <w:r>
        <w:rPr>
          <w:rFonts w:cs="DejaVu Serif"/>
          <w:color w:val="000000"/>
        </w:rPr>
        <w:t>təqdim</w:t>
      </w:r>
      <w:proofErr w:type="spellEnd"/>
      <w:r>
        <w:rPr>
          <w:rFonts w:cs="DejaVu Serif"/>
          <w:color w:val="000000"/>
        </w:rPr>
        <w:t xml:space="preserve"> </w:t>
      </w:r>
      <w:proofErr w:type="spellStart"/>
      <w:r>
        <w:rPr>
          <w:rFonts w:cs="DejaVu Serif"/>
          <w:color w:val="000000"/>
        </w:rPr>
        <w:t>edilmişdir</w:t>
      </w:r>
      <w:proofErr w:type="spellEnd"/>
      <w:r>
        <w:rPr>
          <w:rFonts w:cs="DejaVu Serif"/>
          <w:color w:val="000000"/>
        </w:rPr>
        <w:t>. İXM-in 130.1-ci maddəsinə əsasən on günlük şikayət müddəti qərarın qəbul olunduğu gündən deyil, surətin İXM-in 57-ci maddəsində nəzərdə tutulan rəsmi qaydada verildiyi vaxtdan hesablanır. Buna görə şikayət müddətində təqdim olunur.</w:t>
      </w:r>
    </w:p>
    <w:p w14:paraId="6AA427C4" w14:textId="77777777" w:rsidR="00F941CF" w:rsidRDefault="00667B8D">
      <w:pPr>
        <w:ind w:firstLine="454"/>
        <w:jc w:val="both"/>
        <w:rPr>
          <w:rFonts w:hint="eastAsia"/>
        </w:rPr>
      </w:pPr>
      <w:r>
        <w:rPr>
          <w:rFonts w:cs="DejaVu Serif"/>
          <w:color w:val="000000"/>
        </w:rPr>
        <w:t>Məhkəmə müddətin buraxıldığı qənaətinə gələrsə, qərarın surətinin gec təqdim edilməsi və/və ya rəsmi təqdimetmə tarixinin mənim iradəmdən asılı olmayan səbəblərlə müəyyən edilməməsi nəzərə alınaraq, İXM-in 130.2-ci maddəsinə əsasən buraxılmış müddətin bərpa olunmasını xahiş edirəm. Qərarın surətinin rəsmi verilmə tarixini təsdiq edən qəbzin təqdim edilməsi qərarı qəbul etmiş orqanın üzərinə düşür.</w:t>
      </w:r>
    </w:p>
    <w:p w14:paraId="369675CD" w14:textId="05520329" w:rsidR="00F941CF" w:rsidRDefault="00667B8D">
      <w:pPr>
        <w:ind w:firstLine="454"/>
        <w:jc w:val="both"/>
        <w:rPr>
          <w:rFonts w:cs="DejaVu Serif" w:hint="eastAsia"/>
          <w:color w:val="000000"/>
        </w:rPr>
      </w:pPr>
      <w:r>
        <w:rPr>
          <w:rFonts w:cs="DejaVu Serif"/>
          <w:color w:val="000000"/>
        </w:rPr>
        <w:t xml:space="preserve">İXM-in 129.5-ci maddəsinə əsasən inzibati xəta haqqında iş </w:t>
      </w:r>
      <w:proofErr w:type="spellStart"/>
      <w:r>
        <w:rPr>
          <w:rFonts w:cs="DejaVu Serif"/>
          <w:color w:val="000000"/>
        </w:rPr>
        <w:t>üzrə</w:t>
      </w:r>
      <w:proofErr w:type="spellEnd"/>
      <w:r>
        <w:rPr>
          <w:rFonts w:cs="DejaVu Serif"/>
          <w:color w:val="000000"/>
        </w:rPr>
        <w:t xml:space="preserve"> </w:t>
      </w:r>
      <w:proofErr w:type="spellStart"/>
      <w:r>
        <w:rPr>
          <w:rFonts w:cs="DejaVu Serif"/>
          <w:color w:val="000000"/>
        </w:rPr>
        <w:t>qərardan</w:t>
      </w:r>
      <w:proofErr w:type="spellEnd"/>
      <w:r>
        <w:rPr>
          <w:rFonts w:cs="DejaVu Serif"/>
          <w:color w:val="000000"/>
        </w:rPr>
        <w:t xml:space="preserve"> </w:t>
      </w:r>
      <w:proofErr w:type="spellStart"/>
      <w:r>
        <w:rPr>
          <w:rFonts w:cs="DejaVu Serif"/>
          <w:color w:val="000000"/>
        </w:rPr>
        <w:t>verilən</w:t>
      </w:r>
      <w:proofErr w:type="spellEnd"/>
      <w:r>
        <w:rPr>
          <w:rFonts w:cs="DejaVu Serif"/>
          <w:color w:val="000000"/>
        </w:rPr>
        <w:t xml:space="preserve"> </w:t>
      </w:r>
      <w:proofErr w:type="spellStart"/>
      <w:r>
        <w:rPr>
          <w:rFonts w:cs="DejaVu Serif"/>
          <w:color w:val="000000"/>
        </w:rPr>
        <w:t>şikayətdən</w:t>
      </w:r>
      <w:proofErr w:type="spellEnd"/>
      <w:r>
        <w:rPr>
          <w:rFonts w:cs="DejaVu Serif"/>
          <w:color w:val="000000"/>
        </w:rPr>
        <w:t xml:space="preserve"> </w:t>
      </w:r>
      <w:proofErr w:type="spellStart"/>
      <w:r>
        <w:rPr>
          <w:rFonts w:cs="DejaVu Serif"/>
          <w:color w:val="000000"/>
        </w:rPr>
        <w:t>dövlət</w:t>
      </w:r>
      <w:proofErr w:type="spellEnd"/>
      <w:r>
        <w:rPr>
          <w:rFonts w:cs="DejaVu Serif"/>
          <w:color w:val="000000"/>
        </w:rPr>
        <w:t xml:space="preserve"> </w:t>
      </w:r>
      <w:proofErr w:type="spellStart"/>
      <w:r>
        <w:rPr>
          <w:rFonts w:cs="DejaVu Serif"/>
          <w:color w:val="000000"/>
        </w:rPr>
        <w:t>rüsumu</w:t>
      </w:r>
      <w:proofErr w:type="spellEnd"/>
      <w:r>
        <w:rPr>
          <w:rFonts w:cs="DejaVu Serif"/>
          <w:color w:val="000000"/>
        </w:rPr>
        <w:t xml:space="preserve"> </w:t>
      </w:r>
      <w:proofErr w:type="spellStart"/>
      <w:r>
        <w:rPr>
          <w:rFonts w:cs="DejaVu Serif"/>
          <w:color w:val="000000"/>
        </w:rPr>
        <w:t>tutulmur</w:t>
      </w:r>
      <w:proofErr w:type="spellEnd"/>
      <w:r>
        <w:rPr>
          <w:rFonts w:cs="DejaVu Serif"/>
          <w:color w:val="000000"/>
        </w:rPr>
        <w:t>.</w:t>
      </w:r>
    </w:p>
    <w:p w14:paraId="364FFC8F" w14:textId="2E02E6C0" w:rsidR="00B4280D" w:rsidRPr="00B4280D" w:rsidRDefault="00B4280D">
      <w:pPr>
        <w:ind w:firstLine="454"/>
        <w:jc w:val="both"/>
        <w:rPr>
          <w:rFonts w:hint="eastAsia"/>
          <w:b/>
          <w:bCs/>
        </w:rPr>
      </w:pPr>
      <w:proofErr w:type="spellStart"/>
      <w:r>
        <w:rPr>
          <w:rFonts w:cs="DejaVu Serif"/>
          <w:b/>
          <w:bCs/>
          <w:color w:val="000000"/>
        </w:rPr>
        <w:t>Onu</w:t>
      </w:r>
      <w:proofErr w:type="spellEnd"/>
      <w:r>
        <w:rPr>
          <w:rFonts w:cs="DejaVu Serif"/>
          <w:b/>
          <w:bCs/>
          <w:color w:val="000000"/>
        </w:rPr>
        <w:t xml:space="preserve"> da </w:t>
      </w:r>
      <w:proofErr w:type="spellStart"/>
      <w:r>
        <w:rPr>
          <w:rFonts w:cs="DejaVu Serif"/>
          <w:b/>
          <w:bCs/>
          <w:color w:val="000000"/>
        </w:rPr>
        <w:t>qeyd</w:t>
      </w:r>
      <w:proofErr w:type="spellEnd"/>
      <w:r>
        <w:rPr>
          <w:rFonts w:cs="DejaVu Serif"/>
          <w:b/>
          <w:bCs/>
          <w:color w:val="000000"/>
        </w:rPr>
        <w:t xml:space="preserve"> </w:t>
      </w:r>
      <w:proofErr w:type="spellStart"/>
      <w:r>
        <w:rPr>
          <w:rFonts w:cs="DejaVu Serif"/>
          <w:b/>
          <w:bCs/>
          <w:color w:val="000000"/>
        </w:rPr>
        <w:t>edim</w:t>
      </w:r>
      <w:proofErr w:type="spellEnd"/>
      <w:r>
        <w:rPr>
          <w:rFonts w:cs="DejaVu Serif"/>
          <w:b/>
          <w:bCs/>
          <w:color w:val="000000"/>
        </w:rPr>
        <w:t xml:space="preserve"> ki, </w:t>
      </w:r>
      <w:proofErr w:type="spellStart"/>
      <w:r>
        <w:rPr>
          <w:rFonts w:cs="DejaVu Serif"/>
          <w:b/>
          <w:bCs/>
          <w:color w:val="000000"/>
        </w:rPr>
        <w:t>qərarın</w:t>
      </w:r>
      <w:proofErr w:type="spellEnd"/>
      <w:r>
        <w:rPr>
          <w:rFonts w:cs="DejaVu Serif"/>
          <w:b/>
          <w:bCs/>
          <w:color w:val="000000"/>
        </w:rPr>
        <w:t xml:space="preserve"> </w:t>
      </w:r>
      <w:proofErr w:type="spellStart"/>
      <w:r>
        <w:rPr>
          <w:rFonts w:cs="DejaVu Serif"/>
          <w:b/>
          <w:bCs/>
          <w:color w:val="000000"/>
        </w:rPr>
        <w:t>qəbul</w:t>
      </w:r>
      <w:proofErr w:type="spellEnd"/>
      <w:r>
        <w:rPr>
          <w:rFonts w:cs="DejaVu Serif"/>
          <w:b/>
          <w:bCs/>
          <w:color w:val="000000"/>
        </w:rPr>
        <w:t xml:space="preserve"> </w:t>
      </w:r>
      <w:proofErr w:type="spellStart"/>
      <w:r>
        <w:rPr>
          <w:rFonts w:cs="DejaVu Serif"/>
          <w:b/>
          <w:bCs/>
          <w:color w:val="000000"/>
        </w:rPr>
        <w:t>olunması</w:t>
      </w:r>
      <w:proofErr w:type="spellEnd"/>
      <w:r>
        <w:rPr>
          <w:rFonts w:cs="DejaVu Serif"/>
          <w:b/>
          <w:bCs/>
          <w:color w:val="000000"/>
        </w:rPr>
        <w:t xml:space="preserve"> </w:t>
      </w:r>
      <w:proofErr w:type="spellStart"/>
      <w:r>
        <w:rPr>
          <w:rFonts w:cs="DejaVu Serif"/>
          <w:b/>
          <w:bCs/>
          <w:color w:val="000000"/>
        </w:rPr>
        <w:t>ilə</w:t>
      </w:r>
      <w:proofErr w:type="spellEnd"/>
      <w:r>
        <w:rPr>
          <w:rFonts w:cs="DejaVu Serif"/>
          <w:b/>
          <w:bCs/>
          <w:color w:val="000000"/>
        </w:rPr>
        <w:t xml:space="preserve"> </w:t>
      </w:r>
      <w:proofErr w:type="spellStart"/>
      <w:r>
        <w:rPr>
          <w:rFonts w:cs="DejaVu Serif"/>
          <w:b/>
          <w:bCs/>
          <w:color w:val="000000"/>
        </w:rPr>
        <w:t>bağlı</w:t>
      </w:r>
      <w:proofErr w:type="spellEnd"/>
      <w:r>
        <w:rPr>
          <w:rFonts w:cs="DejaVu Serif"/>
          <w:b/>
          <w:bCs/>
          <w:color w:val="000000"/>
        </w:rPr>
        <w:t xml:space="preserve"> </w:t>
      </w:r>
      <w:proofErr w:type="spellStart"/>
      <w:r>
        <w:rPr>
          <w:rFonts w:cs="DejaVu Serif"/>
          <w:b/>
          <w:bCs/>
          <w:color w:val="000000"/>
        </w:rPr>
        <w:t>icraatda</w:t>
      </w:r>
      <w:proofErr w:type="spellEnd"/>
      <w:r>
        <w:rPr>
          <w:rFonts w:cs="DejaVu Serif"/>
          <w:b/>
          <w:bCs/>
          <w:color w:val="000000"/>
        </w:rPr>
        <w:t xml:space="preserve"> </w:t>
      </w:r>
      <w:proofErr w:type="spellStart"/>
      <w:r>
        <w:rPr>
          <w:rFonts w:cs="DejaVu Serif"/>
          <w:b/>
          <w:bCs/>
          <w:color w:val="000000"/>
        </w:rPr>
        <w:t>mənim</w:t>
      </w:r>
      <w:proofErr w:type="spellEnd"/>
      <w:r>
        <w:rPr>
          <w:rFonts w:cs="DejaVu Serif"/>
          <w:b/>
          <w:bCs/>
          <w:color w:val="000000"/>
        </w:rPr>
        <w:t xml:space="preserve"> </w:t>
      </w:r>
      <w:proofErr w:type="spellStart"/>
      <w:r>
        <w:rPr>
          <w:rFonts w:cs="DejaVu Serif"/>
          <w:b/>
          <w:bCs/>
          <w:color w:val="000000"/>
        </w:rPr>
        <w:t>iştirakım</w:t>
      </w:r>
      <w:proofErr w:type="spellEnd"/>
      <w:r>
        <w:rPr>
          <w:rFonts w:cs="DejaVu Serif"/>
          <w:b/>
          <w:bCs/>
          <w:color w:val="000000"/>
        </w:rPr>
        <w:t xml:space="preserve"> </w:t>
      </w:r>
      <w:proofErr w:type="spellStart"/>
      <w:r>
        <w:rPr>
          <w:rFonts w:cs="DejaVu Serif"/>
          <w:b/>
          <w:bCs/>
          <w:color w:val="000000"/>
        </w:rPr>
        <w:t>təmin</w:t>
      </w:r>
      <w:proofErr w:type="spellEnd"/>
      <w:r>
        <w:rPr>
          <w:rFonts w:cs="DejaVu Serif"/>
          <w:b/>
          <w:bCs/>
          <w:color w:val="000000"/>
        </w:rPr>
        <w:t xml:space="preserve"> </w:t>
      </w:r>
      <w:proofErr w:type="spellStart"/>
      <w:r>
        <w:rPr>
          <w:rFonts w:cs="DejaVu Serif"/>
          <w:b/>
          <w:bCs/>
          <w:color w:val="000000"/>
        </w:rPr>
        <w:t>olunmamışdır</w:t>
      </w:r>
      <w:proofErr w:type="spellEnd"/>
      <w:r>
        <w:rPr>
          <w:rFonts w:cs="DejaVu Serif"/>
          <w:b/>
          <w:bCs/>
          <w:color w:val="000000"/>
        </w:rPr>
        <w:t>.</w:t>
      </w:r>
    </w:p>
    <w:p w14:paraId="784B6359" w14:textId="77777777" w:rsidR="0034552E" w:rsidRPr="0067787D" w:rsidRDefault="0034552E">
      <w:pPr>
        <w:pStyle w:val="1"/>
        <w:rPr>
          <w:b w:val="0"/>
          <w:bCs w:val="0"/>
        </w:rPr>
      </w:pPr>
      <w:proofErr w:type="spellStart"/>
      <w:r w:rsidRPr="0067787D">
        <w:rPr>
          <w:b w:val="0"/>
          <w:bCs w:val="0"/>
        </w:rPr>
        <w:lastRenderedPageBreak/>
        <w:t>Yuxarıda</w:t>
      </w:r>
      <w:proofErr w:type="spellEnd"/>
      <w:r w:rsidRPr="0067787D">
        <w:rPr>
          <w:b w:val="0"/>
          <w:bCs w:val="0"/>
        </w:rPr>
        <w:t xml:space="preserve"> </w:t>
      </w:r>
      <w:proofErr w:type="spellStart"/>
      <w:r w:rsidRPr="0067787D">
        <w:rPr>
          <w:b w:val="0"/>
          <w:bCs w:val="0"/>
        </w:rPr>
        <w:t>göstərilənləri</w:t>
      </w:r>
      <w:proofErr w:type="spellEnd"/>
      <w:r w:rsidRPr="0067787D">
        <w:rPr>
          <w:b w:val="0"/>
          <w:bCs w:val="0"/>
        </w:rPr>
        <w:t xml:space="preserve"> </w:t>
      </w:r>
      <w:proofErr w:type="spellStart"/>
      <w:r w:rsidRPr="0067787D">
        <w:rPr>
          <w:b w:val="0"/>
          <w:bCs w:val="0"/>
        </w:rPr>
        <w:t>nəzərə</w:t>
      </w:r>
      <w:proofErr w:type="spellEnd"/>
      <w:r w:rsidRPr="0067787D">
        <w:rPr>
          <w:b w:val="0"/>
          <w:bCs w:val="0"/>
        </w:rPr>
        <w:t xml:space="preserve"> </w:t>
      </w:r>
      <w:proofErr w:type="spellStart"/>
      <w:r w:rsidRPr="0067787D">
        <w:rPr>
          <w:b w:val="0"/>
          <w:bCs w:val="0"/>
        </w:rPr>
        <w:t>alaraq</w:t>
      </w:r>
      <w:proofErr w:type="spellEnd"/>
      <w:r w:rsidRPr="0067787D">
        <w:rPr>
          <w:b w:val="0"/>
          <w:bCs w:val="0"/>
        </w:rPr>
        <w:t xml:space="preserve"> </w:t>
      </w:r>
      <w:proofErr w:type="spellStart"/>
      <w:r w:rsidR="00667B8D" w:rsidRPr="0067787D">
        <w:rPr>
          <w:b w:val="0"/>
          <w:bCs w:val="0"/>
        </w:rPr>
        <w:t>Məhkəmədən</w:t>
      </w:r>
      <w:proofErr w:type="spellEnd"/>
      <w:r w:rsidR="00667B8D" w:rsidRPr="0067787D">
        <w:rPr>
          <w:b w:val="0"/>
          <w:bCs w:val="0"/>
        </w:rPr>
        <w:t xml:space="preserve"> </w:t>
      </w:r>
    </w:p>
    <w:p w14:paraId="1B2902B9" w14:textId="52DFF705" w:rsidR="00F941CF" w:rsidRDefault="0034552E" w:rsidP="0034552E">
      <w:pPr>
        <w:pStyle w:val="1"/>
        <w:jc w:val="center"/>
      </w:pPr>
      <w:r>
        <w:t>XAHIŞ EDİRƏM:</w:t>
      </w:r>
    </w:p>
    <w:p w14:paraId="6769BE95" w14:textId="77341423" w:rsidR="0034552E" w:rsidRDefault="0034552E" w:rsidP="0034552E">
      <w:pPr>
        <w:pStyle w:val="1"/>
        <w:jc w:val="both"/>
        <w:rPr>
          <w:rFonts w:ascii="DejaVu Serif" w:eastAsiaTheme="minorEastAsia" w:hAnsi="DejaVu Serif" w:cs="DejaVu Serif" w:hint="eastAsia"/>
          <w:b w:val="0"/>
          <w:bCs w:val="0"/>
          <w:sz w:val="24"/>
          <w:szCs w:val="22"/>
        </w:rPr>
      </w:pPr>
      <w:proofErr w:type="spellStart"/>
      <w:r w:rsidRPr="0034552E">
        <w:rPr>
          <w:rFonts w:ascii="DejaVu Serif" w:eastAsiaTheme="minorEastAsia" w:hAnsi="DejaVu Serif" w:cs="DejaVu Serif"/>
          <w:b w:val="0"/>
          <w:bCs w:val="0"/>
          <w:sz w:val="24"/>
          <w:szCs w:val="22"/>
        </w:rPr>
        <w:t>D</w:t>
      </w:r>
      <w:r w:rsidRPr="0034552E">
        <w:rPr>
          <w:rFonts w:ascii="DejaVu Serif" w:eastAsiaTheme="minorEastAsia" w:hAnsi="DejaVu Serif" w:cs="DejaVu Serif" w:hint="eastAsia"/>
          <w:b w:val="0"/>
          <w:bCs w:val="0"/>
          <w:sz w:val="24"/>
          <w:szCs w:val="22"/>
        </w:rPr>
        <w:t>ö</w:t>
      </w:r>
      <w:r w:rsidRPr="0034552E">
        <w:rPr>
          <w:rFonts w:ascii="DejaVu Serif" w:eastAsiaTheme="minorEastAsia" w:hAnsi="DejaVu Serif" w:cs="DejaVu Serif"/>
          <w:b w:val="0"/>
          <w:bCs w:val="0"/>
          <w:sz w:val="24"/>
          <w:szCs w:val="22"/>
        </w:rPr>
        <w:t>vlət</w:t>
      </w:r>
      <w:proofErr w:type="spellEnd"/>
      <w:r w:rsidRPr="0034552E">
        <w:rPr>
          <w:rFonts w:ascii="DejaVu Serif" w:eastAsiaTheme="minorEastAsia" w:hAnsi="DejaVu Serif" w:cs="DejaVu Serif"/>
          <w:b w:val="0"/>
          <w:bCs w:val="0"/>
          <w:sz w:val="24"/>
          <w:szCs w:val="22"/>
        </w:rPr>
        <w:t xml:space="preserve"> </w:t>
      </w:r>
      <w:proofErr w:type="spellStart"/>
      <w:r w:rsidRPr="0034552E">
        <w:rPr>
          <w:rFonts w:ascii="DejaVu Serif" w:eastAsiaTheme="minorEastAsia" w:hAnsi="DejaVu Serif" w:cs="DejaVu Serif"/>
          <w:b w:val="0"/>
          <w:bCs w:val="0"/>
          <w:sz w:val="24"/>
          <w:szCs w:val="22"/>
        </w:rPr>
        <w:t>Əmək</w:t>
      </w:r>
      <w:proofErr w:type="spellEnd"/>
      <w:r w:rsidRPr="0034552E">
        <w:rPr>
          <w:rFonts w:ascii="DejaVu Serif" w:eastAsiaTheme="minorEastAsia" w:hAnsi="DejaVu Serif" w:cs="DejaVu Serif"/>
          <w:b w:val="0"/>
          <w:bCs w:val="0"/>
          <w:sz w:val="24"/>
          <w:szCs w:val="22"/>
        </w:rPr>
        <w:t xml:space="preserve"> </w:t>
      </w:r>
      <w:proofErr w:type="spellStart"/>
      <w:r w:rsidRPr="0034552E">
        <w:rPr>
          <w:rFonts w:ascii="DejaVu Serif" w:eastAsiaTheme="minorEastAsia" w:hAnsi="DejaVu Serif" w:cs="DejaVu Serif"/>
          <w:b w:val="0"/>
          <w:bCs w:val="0"/>
          <w:sz w:val="24"/>
          <w:szCs w:val="22"/>
        </w:rPr>
        <w:t>M</w:t>
      </w:r>
      <w:r w:rsidRPr="0034552E">
        <w:rPr>
          <w:rFonts w:ascii="DejaVu Serif" w:eastAsiaTheme="minorEastAsia" w:hAnsi="DejaVu Serif" w:cs="DejaVu Serif" w:hint="eastAsia"/>
          <w:b w:val="0"/>
          <w:bCs w:val="0"/>
          <w:sz w:val="24"/>
          <w:szCs w:val="22"/>
        </w:rPr>
        <w:t>ü</w:t>
      </w:r>
      <w:r w:rsidRPr="0034552E">
        <w:rPr>
          <w:rFonts w:ascii="DejaVu Serif" w:eastAsiaTheme="minorEastAsia" w:hAnsi="DejaVu Serif" w:cs="DejaVu Serif"/>
          <w:b w:val="0"/>
          <w:bCs w:val="0"/>
          <w:sz w:val="24"/>
          <w:szCs w:val="22"/>
        </w:rPr>
        <w:t>fətti</w:t>
      </w:r>
      <w:r w:rsidRPr="0034552E">
        <w:rPr>
          <w:rFonts w:ascii="DejaVu Serif" w:eastAsiaTheme="minorEastAsia" w:hAnsi="DejaVu Serif" w:cs="DejaVu Serif" w:hint="eastAsia"/>
          <w:b w:val="0"/>
          <w:bCs w:val="0"/>
          <w:sz w:val="24"/>
          <w:szCs w:val="22"/>
        </w:rPr>
        <w:t>ş</w:t>
      </w:r>
      <w:r w:rsidRPr="0034552E">
        <w:rPr>
          <w:rFonts w:ascii="DejaVu Serif" w:eastAsiaTheme="minorEastAsia" w:hAnsi="DejaVu Serif" w:cs="DejaVu Serif"/>
          <w:b w:val="0"/>
          <w:bCs w:val="0"/>
          <w:sz w:val="24"/>
          <w:szCs w:val="22"/>
        </w:rPr>
        <w:t>liyi</w:t>
      </w:r>
      <w:proofErr w:type="spellEnd"/>
      <w:r w:rsidRPr="0034552E">
        <w:rPr>
          <w:rFonts w:ascii="DejaVu Serif" w:eastAsiaTheme="minorEastAsia" w:hAnsi="DejaVu Serif" w:cs="DejaVu Serif"/>
          <w:b w:val="0"/>
          <w:bCs w:val="0"/>
          <w:sz w:val="24"/>
          <w:szCs w:val="22"/>
        </w:rPr>
        <w:t xml:space="preserve"> </w:t>
      </w:r>
      <w:proofErr w:type="spellStart"/>
      <w:r w:rsidRPr="0034552E">
        <w:rPr>
          <w:rFonts w:ascii="DejaVu Serif" w:eastAsiaTheme="minorEastAsia" w:hAnsi="DejaVu Serif" w:cs="DejaVu Serif"/>
          <w:b w:val="0"/>
          <w:bCs w:val="0"/>
          <w:sz w:val="24"/>
          <w:szCs w:val="22"/>
        </w:rPr>
        <w:t>Xidmətinin</w:t>
      </w:r>
      <w:proofErr w:type="spellEnd"/>
      <w:r w:rsidRPr="0034552E">
        <w:rPr>
          <w:rFonts w:ascii="DejaVu Serif" w:eastAsiaTheme="minorEastAsia" w:hAnsi="DejaVu Serif" w:cs="DejaVu Serif"/>
          <w:b w:val="0"/>
          <w:bCs w:val="0"/>
          <w:sz w:val="24"/>
          <w:szCs w:val="22"/>
        </w:rPr>
        <w:t xml:space="preserve"> </w:t>
      </w:r>
      <w:proofErr w:type="spellStart"/>
      <w:r w:rsidRPr="0034552E">
        <w:rPr>
          <w:rFonts w:ascii="DejaVu Serif" w:eastAsiaTheme="minorEastAsia" w:hAnsi="DejaVu Serif" w:cs="DejaVu Serif"/>
          <w:b w:val="0"/>
          <w:bCs w:val="0"/>
          <w:sz w:val="24"/>
          <w:szCs w:val="22"/>
        </w:rPr>
        <w:t>Quba-Xa</w:t>
      </w:r>
      <w:r w:rsidRPr="0034552E">
        <w:rPr>
          <w:rFonts w:ascii="DejaVu Serif" w:eastAsiaTheme="minorEastAsia" w:hAnsi="DejaVu Serif" w:cs="DejaVu Serif" w:hint="eastAsia"/>
          <w:b w:val="0"/>
          <w:bCs w:val="0"/>
          <w:sz w:val="24"/>
          <w:szCs w:val="22"/>
        </w:rPr>
        <w:t>ç</w:t>
      </w:r>
      <w:r w:rsidRPr="0034552E">
        <w:rPr>
          <w:rFonts w:ascii="DejaVu Serif" w:eastAsiaTheme="minorEastAsia" w:hAnsi="DejaVu Serif" w:cs="DejaVu Serif"/>
          <w:b w:val="0"/>
          <w:bCs w:val="0"/>
          <w:sz w:val="24"/>
          <w:szCs w:val="22"/>
        </w:rPr>
        <w:t>maz</w:t>
      </w:r>
      <w:proofErr w:type="spellEnd"/>
      <w:r w:rsidRPr="0034552E">
        <w:rPr>
          <w:rFonts w:ascii="DejaVu Serif" w:eastAsiaTheme="minorEastAsia" w:hAnsi="DejaVu Serif" w:cs="DejaVu Serif"/>
          <w:b w:val="0"/>
          <w:bCs w:val="0"/>
          <w:sz w:val="24"/>
          <w:szCs w:val="22"/>
        </w:rPr>
        <w:t xml:space="preserve"> regional </w:t>
      </w:r>
      <w:proofErr w:type="spellStart"/>
      <w:r w:rsidRPr="0034552E">
        <w:rPr>
          <w:rFonts w:ascii="DejaVu Serif" w:eastAsiaTheme="minorEastAsia" w:hAnsi="DejaVu Serif" w:cs="DejaVu Serif" w:hint="eastAsia"/>
          <w:b w:val="0"/>
          <w:bCs w:val="0"/>
          <w:sz w:val="24"/>
          <w:szCs w:val="22"/>
        </w:rPr>
        <w:t>şö</w:t>
      </w:r>
      <w:r w:rsidRPr="0034552E">
        <w:rPr>
          <w:rFonts w:ascii="DejaVu Serif" w:eastAsiaTheme="minorEastAsia" w:hAnsi="DejaVu Serif" w:cs="DejaVu Serif"/>
          <w:b w:val="0"/>
          <w:bCs w:val="0"/>
          <w:sz w:val="24"/>
          <w:szCs w:val="22"/>
        </w:rPr>
        <w:t>bəsinin</w:t>
      </w:r>
      <w:proofErr w:type="spellEnd"/>
      <w:r w:rsidRPr="0034552E">
        <w:rPr>
          <w:rFonts w:ascii="DejaVu Serif" w:eastAsiaTheme="minorEastAsia" w:hAnsi="DejaVu Serif" w:cs="DejaVu Serif"/>
          <w:b w:val="0"/>
          <w:bCs w:val="0"/>
          <w:sz w:val="24"/>
          <w:szCs w:val="22"/>
        </w:rPr>
        <w:t xml:space="preserve"> </w:t>
      </w:r>
      <w:proofErr w:type="spellStart"/>
      <w:r w:rsidRPr="0034552E">
        <w:rPr>
          <w:rFonts w:ascii="DejaVu Serif" w:eastAsiaTheme="minorEastAsia" w:hAnsi="DejaVu Serif" w:cs="DejaVu Serif"/>
          <w:b w:val="0"/>
          <w:bCs w:val="0"/>
          <w:sz w:val="24"/>
          <w:szCs w:val="22"/>
        </w:rPr>
        <w:t>səlahiyyətli</w:t>
      </w:r>
      <w:proofErr w:type="spellEnd"/>
      <w:r w:rsidRPr="0034552E">
        <w:rPr>
          <w:rFonts w:ascii="DejaVu Serif" w:eastAsiaTheme="minorEastAsia" w:hAnsi="DejaVu Serif" w:cs="DejaVu Serif"/>
          <w:b w:val="0"/>
          <w:bCs w:val="0"/>
          <w:sz w:val="24"/>
          <w:szCs w:val="22"/>
        </w:rPr>
        <w:t xml:space="preserve"> </w:t>
      </w:r>
      <w:proofErr w:type="spellStart"/>
      <w:r w:rsidRPr="0034552E">
        <w:rPr>
          <w:rFonts w:ascii="DejaVu Serif" w:eastAsiaTheme="minorEastAsia" w:hAnsi="DejaVu Serif" w:cs="DejaVu Serif"/>
          <w:b w:val="0"/>
          <w:bCs w:val="0"/>
          <w:sz w:val="24"/>
          <w:szCs w:val="22"/>
        </w:rPr>
        <w:t>vəzifəli</w:t>
      </w:r>
      <w:proofErr w:type="spellEnd"/>
      <w:r w:rsidRPr="0034552E">
        <w:rPr>
          <w:rFonts w:ascii="DejaVu Serif" w:eastAsiaTheme="minorEastAsia" w:hAnsi="DejaVu Serif" w:cs="DejaVu Serif"/>
          <w:b w:val="0"/>
          <w:bCs w:val="0"/>
          <w:sz w:val="24"/>
          <w:szCs w:val="22"/>
        </w:rPr>
        <w:t xml:space="preserve"> </w:t>
      </w:r>
      <w:proofErr w:type="spellStart"/>
      <w:r w:rsidRPr="0034552E">
        <w:rPr>
          <w:rFonts w:ascii="DejaVu Serif" w:eastAsiaTheme="minorEastAsia" w:hAnsi="DejaVu Serif" w:cs="DejaVu Serif" w:hint="eastAsia"/>
          <w:b w:val="0"/>
          <w:bCs w:val="0"/>
          <w:sz w:val="24"/>
          <w:szCs w:val="22"/>
        </w:rPr>
        <w:t>ş</w:t>
      </w:r>
      <w:r w:rsidRPr="0034552E">
        <w:rPr>
          <w:rFonts w:ascii="DejaVu Serif" w:eastAsiaTheme="minorEastAsia" w:hAnsi="DejaVu Serif" w:cs="DejaVu Serif"/>
          <w:b w:val="0"/>
          <w:bCs w:val="0"/>
          <w:sz w:val="24"/>
          <w:szCs w:val="22"/>
        </w:rPr>
        <w:t>əxsi</w:t>
      </w:r>
      <w:proofErr w:type="spellEnd"/>
      <w:r w:rsidRPr="0034552E">
        <w:rPr>
          <w:rFonts w:ascii="DejaVu Serif" w:eastAsiaTheme="minorEastAsia" w:hAnsi="DejaVu Serif" w:cs="DejaVu Serif"/>
          <w:b w:val="0"/>
          <w:bCs w:val="0"/>
          <w:sz w:val="24"/>
          <w:szCs w:val="22"/>
        </w:rPr>
        <w:t xml:space="preserve"> </w:t>
      </w:r>
      <w:proofErr w:type="spellStart"/>
      <w:r w:rsidRPr="0034552E">
        <w:rPr>
          <w:rFonts w:ascii="DejaVu Serif" w:eastAsiaTheme="minorEastAsia" w:hAnsi="DejaVu Serif" w:cs="DejaVu Serif"/>
          <w:b w:val="0"/>
          <w:bCs w:val="0"/>
          <w:sz w:val="24"/>
          <w:szCs w:val="22"/>
        </w:rPr>
        <w:t>tərəfindən</w:t>
      </w:r>
      <w:proofErr w:type="spellEnd"/>
      <w:r w:rsidRPr="0034552E">
        <w:rPr>
          <w:rFonts w:ascii="DejaVu Serif" w:eastAsiaTheme="minorEastAsia" w:hAnsi="DejaVu Serif" w:cs="DejaVu Serif"/>
          <w:b w:val="0"/>
          <w:bCs w:val="0"/>
          <w:sz w:val="24"/>
          <w:szCs w:val="22"/>
        </w:rPr>
        <w:t xml:space="preserve"> 23 </w:t>
      </w:r>
      <w:proofErr w:type="spellStart"/>
      <w:r w:rsidRPr="0034552E">
        <w:rPr>
          <w:rFonts w:ascii="DejaVu Serif" w:eastAsiaTheme="minorEastAsia" w:hAnsi="DejaVu Serif" w:cs="DejaVu Serif"/>
          <w:b w:val="0"/>
          <w:bCs w:val="0"/>
          <w:sz w:val="24"/>
          <w:szCs w:val="22"/>
        </w:rPr>
        <w:t>iyul</w:t>
      </w:r>
      <w:proofErr w:type="spellEnd"/>
      <w:r w:rsidRPr="0034552E">
        <w:rPr>
          <w:rFonts w:ascii="DejaVu Serif" w:eastAsiaTheme="minorEastAsia" w:hAnsi="DejaVu Serif" w:cs="DejaVu Serif"/>
          <w:b w:val="0"/>
          <w:bCs w:val="0"/>
          <w:sz w:val="24"/>
          <w:szCs w:val="22"/>
        </w:rPr>
        <w:t xml:space="preserve"> 2026-c</w:t>
      </w:r>
      <w:r w:rsidRPr="0034552E">
        <w:rPr>
          <w:rFonts w:ascii="DejaVu Serif" w:eastAsiaTheme="minorEastAsia" w:hAnsi="DejaVu Serif" w:cs="DejaVu Serif" w:hint="eastAsia"/>
          <w:b w:val="0"/>
          <w:bCs w:val="0"/>
          <w:sz w:val="24"/>
          <w:szCs w:val="22"/>
        </w:rPr>
        <w:t>ı</w:t>
      </w:r>
      <w:r w:rsidRPr="0034552E">
        <w:rPr>
          <w:rFonts w:ascii="DejaVu Serif" w:eastAsiaTheme="minorEastAsia" w:hAnsi="DejaVu Serif" w:cs="DejaVu Serif"/>
          <w:b w:val="0"/>
          <w:bCs w:val="0"/>
          <w:sz w:val="24"/>
          <w:szCs w:val="22"/>
        </w:rPr>
        <w:t xml:space="preserve"> il </w:t>
      </w:r>
      <w:proofErr w:type="spellStart"/>
      <w:r w:rsidRPr="0034552E">
        <w:rPr>
          <w:rFonts w:ascii="DejaVu Serif" w:eastAsiaTheme="minorEastAsia" w:hAnsi="DejaVu Serif" w:cs="DejaVu Serif"/>
          <w:b w:val="0"/>
          <w:bCs w:val="0"/>
          <w:sz w:val="24"/>
          <w:szCs w:val="22"/>
        </w:rPr>
        <w:t>tarixdə</w:t>
      </w:r>
      <w:proofErr w:type="spellEnd"/>
      <w:r w:rsidRPr="0034552E">
        <w:rPr>
          <w:rFonts w:ascii="DejaVu Serif" w:eastAsiaTheme="minorEastAsia" w:hAnsi="DejaVu Serif" w:cs="DejaVu Serif"/>
          <w:b w:val="0"/>
          <w:bCs w:val="0"/>
          <w:sz w:val="24"/>
          <w:szCs w:val="22"/>
        </w:rPr>
        <w:t xml:space="preserve"> MN </w:t>
      </w:r>
      <w:r w:rsidRPr="0034552E">
        <w:rPr>
          <w:rFonts w:ascii="DejaVu Serif" w:eastAsiaTheme="minorEastAsia" w:hAnsi="DejaVu Serif" w:cs="DejaVu Serif" w:hint="eastAsia"/>
          <w:b w:val="0"/>
          <w:bCs w:val="0"/>
          <w:sz w:val="24"/>
          <w:szCs w:val="22"/>
        </w:rPr>
        <w:t>№</w:t>
      </w:r>
      <w:r w:rsidRPr="0034552E">
        <w:rPr>
          <w:rFonts w:ascii="DejaVu Serif" w:eastAsiaTheme="minorEastAsia" w:hAnsi="DejaVu Serif" w:cs="DejaVu Serif"/>
          <w:b w:val="0"/>
          <w:bCs w:val="0"/>
          <w:sz w:val="24"/>
          <w:szCs w:val="22"/>
        </w:rPr>
        <w:t xml:space="preserve"> 1809223 </w:t>
      </w:r>
      <w:proofErr w:type="spellStart"/>
      <w:r w:rsidRPr="0034552E">
        <w:rPr>
          <w:rFonts w:ascii="DejaVu Serif" w:eastAsiaTheme="minorEastAsia" w:hAnsi="DejaVu Serif" w:cs="DejaVu Serif"/>
          <w:b w:val="0"/>
          <w:bCs w:val="0"/>
          <w:sz w:val="24"/>
          <w:szCs w:val="22"/>
        </w:rPr>
        <w:t>n</w:t>
      </w:r>
      <w:r w:rsidRPr="0034552E">
        <w:rPr>
          <w:rFonts w:ascii="DejaVu Serif" w:eastAsiaTheme="minorEastAsia" w:hAnsi="DejaVu Serif" w:cs="DejaVu Serif" w:hint="eastAsia"/>
          <w:b w:val="0"/>
          <w:bCs w:val="0"/>
          <w:sz w:val="24"/>
          <w:szCs w:val="22"/>
        </w:rPr>
        <w:t>ö</w:t>
      </w:r>
      <w:r w:rsidRPr="0034552E">
        <w:rPr>
          <w:rFonts w:ascii="DejaVu Serif" w:eastAsiaTheme="minorEastAsia" w:hAnsi="DejaVu Serif" w:cs="DejaVu Serif"/>
          <w:b w:val="0"/>
          <w:bCs w:val="0"/>
          <w:sz w:val="24"/>
          <w:szCs w:val="22"/>
        </w:rPr>
        <w:t>mrəli</w:t>
      </w:r>
      <w:proofErr w:type="spellEnd"/>
      <w:r w:rsidRPr="0034552E">
        <w:rPr>
          <w:rFonts w:ascii="DejaVu Serif" w:eastAsiaTheme="minorEastAsia" w:hAnsi="DejaVu Serif" w:cs="DejaVu Serif"/>
          <w:b w:val="0"/>
          <w:bCs w:val="0"/>
          <w:sz w:val="24"/>
          <w:szCs w:val="22"/>
        </w:rPr>
        <w:t xml:space="preserve"> </w:t>
      </w:r>
      <w:proofErr w:type="spellStart"/>
      <w:r w:rsidRPr="0034552E">
        <w:rPr>
          <w:rFonts w:ascii="DejaVu Serif" w:eastAsiaTheme="minorEastAsia" w:hAnsi="DejaVu Serif" w:cs="DejaVu Serif"/>
          <w:b w:val="0"/>
          <w:bCs w:val="0"/>
          <w:sz w:val="24"/>
          <w:szCs w:val="22"/>
        </w:rPr>
        <w:t>qərar</w:t>
      </w:r>
      <w:r>
        <w:rPr>
          <w:rFonts w:ascii="DejaVu Serif" w:eastAsiaTheme="minorEastAsia" w:hAnsi="DejaVu Serif" w:cs="DejaVu Serif"/>
          <w:b w:val="0"/>
          <w:bCs w:val="0"/>
          <w:sz w:val="24"/>
          <w:szCs w:val="22"/>
        </w:rPr>
        <w:t>ın</w:t>
      </w:r>
      <w:proofErr w:type="spellEnd"/>
      <w:r>
        <w:rPr>
          <w:rFonts w:ascii="DejaVu Serif" w:eastAsiaTheme="minorEastAsia" w:hAnsi="DejaVu Serif" w:cs="DejaVu Serif"/>
          <w:b w:val="0"/>
          <w:bCs w:val="0"/>
          <w:sz w:val="24"/>
          <w:szCs w:val="22"/>
        </w:rPr>
        <w:t xml:space="preserve"> </w:t>
      </w:r>
      <w:proofErr w:type="spellStart"/>
      <w:r>
        <w:rPr>
          <w:rFonts w:ascii="DejaVu Serif" w:eastAsiaTheme="minorEastAsia" w:hAnsi="DejaVu Serif" w:cs="DejaVu Serif"/>
          <w:b w:val="0"/>
          <w:bCs w:val="0"/>
          <w:sz w:val="24"/>
          <w:szCs w:val="22"/>
        </w:rPr>
        <w:t>ləğv</w:t>
      </w:r>
      <w:proofErr w:type="spellEnd"/>
      <w:r>
        <w:rPr>
          <w:rFonts w:ascii="DejaVu Serif" w:eastAsiaTheme="minorEastAsia" w:hAnsi="DejaVu Serif" w:cs="DejaVu Serif"/>
          <w:b w:val="0"/>
          <w:bCs w:val="0"/>
          <w:sz w:val="24"/>
          <w:szCs w:val="22"/>
        </w:rPr>
        <w:t xml:space="preserve"> </w:t>
      </w:r>
      <w:proofErr w:type="spellStart"/>
      <w:r>
        <w:rPr>
          <w:rFonts w:ascii="DejaVu Serif" w:eastAsiaTheme="minorEastAsia" w:hAnsi="DejaVu Serif" w:cs="DejaVu Serif"/>
          <w:b w:val="0"/>
          <w:bCs w:val="0"/>
          <w:sz w:val="24"/>
          <w:szCs w:val="22"/>
        </w:rPr>
        <w:t>edilməsi</w:t>
      </w:r>
      <w:proofErr w:type="spellEnd"/>
      <w:r>
        <w:rPr>
          <w:rFonts w:ascii="DejaVu Serif" w:eastAsiaTheme="minorEastAsia" w:hAnsi="DejaVu Serif" w:cs="DejaVu Serif"/>
          <w:b w:val="0"/>
          <w:bCs w:val="0"/>
          <w:sz w:val="24"/>
          <w:szCs w:val="22"/>
        </w:rPr>
        <w:t xml:space="preserve">, </w:t>
      </w:r>
      <w:proofErr w:type="spellStart"/>
      <w:r>
        <w:rPr>
          <w:rFonts w:ascii="DejaVu Serif" w:eastAsiaTheme="minorEastAsia" w:hAnsi="DejaVu Serif" w:cs="DejaVu Serif"/>
          <w:b w:val="0"/>
          <w:bCs w:val="0"/>
          <w:sz w:val="24"/>
          <w:szCs w:val="22"/>
        </w:rPr>
        <w:t>işin</w:t>
      </w:r>
      <w:proofErr w:type="spellEnd"/>
      <w:r>
        <w:rPr>
          <w:rFonts w:ascii="DejaVu Serif" w:eastAsiaTheme="minorEastAsia" w:hAnsi="DejaVu Serif" w:cs="DejaVu Serif"/>
          <w:b w:val="0"/>
          <w:bCs w:val="0"/>
          <w:sz w:val="24"/>
          <w:szCs w:val="22"/>
        </w:rPr>
        <w:t xml:space="preserve"> </w:t>
      </w:r>
      <w:proofErr w:type="spellStart"/>
      <w:r>
        <w:rPr>
          <w:rFonts w:ascii="DejaVu Serif" w:eastAsiaTheme="minorEastAsia" w:hAnsi="DejaVu Serif" w:cs="DejaVu Serif"/>
          <w:b w:val="0"/>
          <w:bCs w:val="0"/>
          <w:sz w:val="24"/>
          <w:szCs w:val="22"/>
        </w:rPr>
        <w:t>yenidən</w:t>
      </w:r>
      <w:proofErr w:type="spellEnd"/>
      <w:r>
        <w:rPr>
          <w:rFonts w:ascii="DejaVu Serif" w:eastAsiaTheme="minorEastAsia" w:hAnsi="DejaVu Serif" w:cs="DejaVu Serif"/>
          <w:b w:val="0"/>
          <w:bCs w:val="0"/>
          <w:sz w:val="24"/>
          <w:szCs w:val="22"/>
        </w:rPr>
        <w:t xml:space="preserve"> </w:t>
      </w:r>
      <w:proofErr w:type="spellStart"/>
      <w:r>
        <w:rPr>
          <w:rFonts w:ascii="DejaVu Serif" w:eastAsiaTheme="minorEastAsia" w:hAnsi="DejaVu Serif" w:cs="DejaVu Serif"/>
          <w:b w:val="0"/>
          <w:bCs w:val="0"/>
          <w:sz w:val="24"/>
          <w:szCs w:val="22"/>
        </w:rPr>
        <w:t>araşdırılması</w:t>
      </w:r>
      <w:proofErr w:type="spellEnd"/>
      <w:r>
        <w:rPr>
          <w:rFonts w:ascii="DejaVu Serif" w:eastAsiaTheme="minorEastAsia" w:hAnsi="DejaVu Serif" w:cs="DejaVu Serif"/>
          <w:b w:val="0"/>
          <w:bCs w:val="0"/>
          <w:sz w:val="24"/>
          <w:szCs w:val="22"/>
        </w:rPr>
        <w:t xml:space="preserve"> </w:t>
      </w:r>
      <w:proofErr w:type="spellStart"/>
      <w:r>
        <w:rPr>
          <w:rFonts w:ascii="DejaVu Serif" w:eastAsiaTheme="minorEastAsia" w:hAnsi="DejaVu Serif" w:cs="DejaVu Serif"/>
          <w:b w:val="0"/>
          <w:bCs w:val="0"/>
          <w:sz w:val="24"/>
          <w:szCs w:val="22"/>
        </w:rPr>
        <w:t>üçün</w:t>
      </w:r>
      <w:proofErr w:type="spellEnd"/>
      <w:r>
        <w:rPr>
          <w:rFonts w:ascii="DejaVu Serif" w:eastAsiaTheme="minorEastAsia" w:hAnsi="DejaVu Serif" w:cs="DejaVu Serif"/>
          <w:b w:val="0"/>
          <w:bCs w:val="0"/>
          <w:sz w:val="24"/>
          <w:szCs w:val="22"/>
        </w:rPr>
        <w:t xml:space="preserve"> </w:t>
      </w:r>
      <w:proofErr w:type="spellStart"/>
      <w:r>
        <w:rPr>
          <w:rFonts w:ascii="DejaVu Serif" w:eastAsiaTheme="minorEastAsia" w:hAnsi="DejaVu Serif" w:cs="DejaVu Serif"/>
          <w:b w:val="0"/>
          <w:bCs w:val="0"/>
          <w:sz w:val="24"/>
          <w:szCs w:val="22"/>
        </w:rPr>
        <w:t>həmin</w:t>
      </w:r>
      <w:proofErr w:type="spellEnd"/>
      <w:r>
        <w:rPr>
          <w:rFonts w:ascii="DejaVu Serif" w:eastAsiaTheme="minorEastAsia" w:hAnsi="DejaVu Serif" w:cs="DejaVu Serif"/>
          <w:b w:val="0"/>
          <w:bCs w:val="0"/>
          <w:sz w:val="24"/>
          <w:szCs w:val="22"/>
        </w:rPr>
        <w:t xml:space="preserve"> </w:t>
      </w:r>
      <w:proofErr w:type="spellStart"/>
      <w:r>
        <w:rPr>
          <w:rFonts w:ascii="DejaVu Serif" w:eastAsiaTheme="minorEastAsia" w:hAnsi="DejaVu Serif" w:cs="DejaVu Serif"/>
          <w:b w:val="0"/>
          <w:bCs w:val="0"/>
          <w:sz w:val="24"/>
          <w:szCs w:val="22"/>
        </w:rPr>
        <w:t>orqana</w:t>
      </w:r>
      <w:proofErr w:type="spellEnd"/>
      <w:r>
        <w:rPr>
          <w:rFonts w:ascii="DejaVu Serif" w:eastAsiaTheme="minorEastAsia" w:hAnsi="DejaVu Serif" w:cs="DejaVu Serif"/>
          <w:b w:val="0"/>
          <w:bCs w:val="0"/>
          <w:sz w:val="24"/>
          <w:szCs w:val="22"/>
        </w:rPr>
        <w:t xml:space="preserve"> </w:t>
      </w:r>
      <w:proofErr w:type="spellStart"/>
      <w:r>
        <w:rPr>
          <w:rFonts w:ascii="DejaVu Serif" w:eastAsiaTheme="minorEastAsia" w:hAnsi="DejaVu Serif" w:cs="DejaVu Serif"/>
          <w:b w:val="0"/>
          <w:bCs w:val="0"/>
          <w:sz w:val="24"/>
          <w:szCs w:val="22"/>
        </w:rPr>
        <w:t>qaytarılması</w:t>
      </w:r>
      <w:proofErr w:type="spellEnd"/>
      <w:r>
        <w:rPr>
          <w:rFonts w:ascii="DejaVu Serif" w:eastAsiaTheme="minorEastAsia" w:hAnsi="DejaVu Serif" w:cs="DejaVu Serif"/>
          <w:b w:val="0"/>
          <w:bCs w:val="0"/>
          <w:sz w:val="24"/>
          <w:szCs w:val="22"/>
        </w:rPr>
        <w:t xml:space="preserve"> </w:t>
      </w:r>
      <w:proofErr w:type="spellStart"/>
      <w:r>
        <w:rPr>
          <w:rFonts w:ascii="DejaVu Serif" w:eastAsiaTheme="minorEastAsia" w:hAnsi="DejaVu Serif" w:cs="DejaVu Serif"/>
          <w:b w:val="0"/>
          <w:bCs w:val="0"/>
          <w:sz w:val="24"/>
          <w:szCs w:val="22"/>
        </w:rPr>
        <w:t>haqqıda</w:t>
      </w:r>
      <w:proofErr w:type="spellEnd"/>
      <w:r>
        <w:rPr>
          <w:rFonts w:ascii="DejaVu Serif" w:eastAsiaTheme="minorEastAsia" w:hAnsi="DejaVu Serif" w:cs="DejaVu Serif"/>
          <w:b w:val="0"/>
          <w:bCs w:val="0"/>
          <w:sz w:val="24"/>
          <w:szCs w:val="22"/>
        </w:rPr>
        <w:t xml:space="preserve"> </w:t>
      </w:r>
      <w:proofErr w:type="spellStart"/>
      <w:r>
        <w:rPr>
          <w:rFonts w:ascii="DejaVu Serif" w:eastAsiaTheme="minorEastAsia" w:hAnsi="DejaVu Serif" w:cs="DejaVu Serif"/>
          <w:b w:val="0"/>
          <w:bCs w:val="0"/>
          <w:sz w:val="24"/>
          <w:szCs w:val="22"/>
        </w:rPr>
        <w:t>qərar</w:t>
      </w:r>
      <w:proofErr w:type="spellEnd"/>
      <w:r>
        <w:rPr>
          <w:rFonts w:ascii="DejaVu Serif" w:eastAsiaTheme="minorEastAsia" w:hAnsi="DejaVu Serif" w:cs="DejaVu Serif"/>
          <w:b w:val="0"/>
          <w:bCs w:val="0"/>
          <w:sz w:val="24"/>
          <w:szCs w:val="22"/>
        </w:rPr>
        <w:t xml:space="preserve"> </w:t>
      </w:r>
      <w:proofErr w:type="spellStart"/>
      <w:r>
        <w:rPr>
          <w:rFonts w:ascii="DejaVu Serif" w:eastAsiaTheme="minorEastAsia" w:hAnsi="DejaVu Serif" w:cs="DejaVu Serif"/>
          <w:b w:val="0"/>
          <w:bCs w:val="0"/>
          <w:sz w:val="24"/>
          <w:szCs w:val="22"/>
        </w:rPr>
        <w:t>qəbul</w:t>
      </w:r>
      <w:proofErr w:type="spellEnd"/>
      <w:r>
        <w:rPr>
          <w:rFonts w:ascii="DejaVu Serif" w:eastAsiaTheme="minorEastAsia" w:hAnsi="DejaVu Serif" w:cs="DejaVu Serif"/>
          <w:b w:val="0"/>
          <w:bCs w:val="0"/>
          <w:sz w:val="24"/>
          <w:szCs w:val="22"/>
        </w:rPr>
        <w:t xml:space="preserve"> </w:t>
      </w:r>
      <w:proofErr w:type="spellStart"/>
      <w:r>
        <w:rPr>
          <w:rFonts w:ascii="DejaVu Serif" w:eastAsiaTheme="minorEastAsia" w:hAnsi="DejaVu Serif" w:cs="DejaVu Serif"/>
          <w:b w:val="0"/>
          <w:bCs w:val="0"/>
          <w:sz w:val="24"/>
          <w:szCs w:val="22"/>
        </w:rPr>
        <w:t>edəsiniz</w:t>
      </w:r>
      <w:proofErr w:type="spellEnd"/>
      <w:r>
        <w:rPr>
          <w:rFonts w:ascii="DejaVu Serif" w:eastAsiaTheme="minorEastAsia" w:hAnsi="DejaVu Serif" w:cs="DejaVu Serif"/>
          <w:b w:val="0"/>
          <w:bCs w:val="0"/>
          <w:sz w:val="24"/>
          <w:szCs w:val="22"/>
        </w:rPr>
        <w:t>.</w:t>
      </w:r>
    </w:p>
    <w:p w14:paraId="0351B741" w14:textId="23F588EA" w:rsidR="00F941CF" w:rsidRDefault="00667B8D">
      <w:pPr>
        <w:pStyle w:val="1"/>
      </w:pPr>
      <w:proofErr w:type="spellStart"/>
      <w:r>
        <w:t>Əlavələr</w:t>
      </w:r>
      <w:proofErr w:type="spellEnd"/>
      <w:r w:rsidR="0034552E">
        <w:t>:</w:t>
      </w:r>
    </w:p>
    <w:p w14:paraId="70EFE0EC" w14:textId="01502B51" w:rsidR="00F941CF" w:rsidRDefault="00667B8D" w:rsidP="006C1A00">
      <w:pPr>
        <w:pStyle w:val="a"/>
        <w:numPr>
          <w:ilvl w:val="0"/>
          <w:numId w:val="2"/>
        </w:numPr>
        <w:jc w:val="both"/>
        <w:rPr>
          <w:rFonts w:hint="eastAsia"/>
        </w:rPr>
      </w:pPr>
      <w:r w:rsidRPr="006C1A00">
        <w:rPr>
          <w:rFonts w:cs="DejaVu Serif"/>
          <w:color w:val="000000"/>
        </w:rPr>
        <w:t xml:space="preserve">23.07.2026-cı il </w:t>
      </w:r>
      <w:proofErr w:type="spellStart"/>
      <w:r w:rsidRPr="006C1A00">
        <w:rPr>
          <w:rFonts w:cs="DejaVu Serif"/>
          <w:color w:val="000000"/>
        </w:rPr>
        <w:t>tarixli</w:t>
      </w:r>
      <w:proofErr w:type="spellEnd"/>
      <w:r w:rsidRPr="006C1A00">
        <w:rPr>
          <w:rFonts w:cs="DejaVu Serif"/>
          <w:color w:val="000000"/>
        </w:rPr>
        <w:t xml:space="preserve"> MN № 1809223 nömrəli qərarın surəti;</w:t>
      </w:r>
    </w:p>
    <w:p w14:paraId="0CAF5B3B" w14:textId="0A659CA3" w:rsidR="00F941CF" w:rsidRPr="006C1A00" w:rsidRDefault="00667B8D">
      <w:pPr>
        <w:numPr>
          <w:ilvl w:val="0"/>
          <w:numId w:val="1"/>
        </w:numPr>
        <w:jc w:val="both"/>
        <w:rPr>
          <w:rFonts w:hint="eastAsia"/>
        </w:rPr>
      </w:pPr>
      <w:proofErr w:type="spellStart"/>
      <w:r>
        <w:rPr>
          <w:rFonts w:cs="DejaVu Serif"/>
          <w:color w:val="000000"/>
        </w:rPr>
        <w:t>şəxsiyyət</w:t>
      </w:r>
      <w:proofErr w:type="spellEnd"/>
      <w:r>
        <w:rPr>
          <w:rFonts w:cs="DejaVu Serif"/>
          <w:color w:val="000000"/>
        </w:rPr>
        <w:t xml:space="preserve"> </w:t>
      </w:r>
      <w:proofErr w:type="spellStart"/>
      <w:r>
        <w:rPr>
          <w:rFonts w:cs="DejaVu Serif"/>
          <w:color w:val="000000"/>
        </w:rPr>
        <w:t>vəsiqəsinin</w:t>
      </w:r>
      <w:proofErr w:type="spellEnd"/>
      <w:r>
        <w:rPr>
          <w:rFonts w:cs="DejaVu Serif"/>
          <w:color w:val="000000"/>
        </w:rPr>
        <w:t xml:space="preserve"> </w:t>
      </w:r>
      <w:proofErr w:type="spellStart"/>
      <w:r>
        <w:rPr>
          <w:rFonts w:cs="DejaVu Serif"/>
          <w:color w:val="000000"/>
        </w:rPr>
        <w:t>surəti</w:t>
      </w:r>
      <w:proofErr w:type="spellEnd"/>
      <w:r>
        <w:rPr>
          <w:rFonts w:cs="DejaVu Serif"/>
          <w:color w:val="000000"/>
        </w:rPr>
        <w:t>;</w:t>
      </w:r>
    </w:p>
    <w:p w14:paraId="7736D514" w14:textId="77777777" w:rsidR="006C1A00" w:rsidRDefault="006C1A00" w:rsidP="006C1A00">
      <w:pPr>
        <w:ind w:left="540"/>
        <w:jc w:val="both"/>
        <w:rPr>
          <w:rFonts w:hint="eastAsia"/>
        </w:rPr>
      </w:pPr>
    </w:p>
    <w:tbl>
      <w:tblPr>
        <w:tblW w:w="0" w:type="auto"/>
        <w:tblBorders>
          <w:top w:val="nil"/>
          <w:left w:val="nil"/>
          <w:bottom w:val="nil"/>
          <w:right w:val="nil"/>
          <w:insideH w:val="nil"/>
          <w:insideV w:val="nil"/>
        </w:tblBorders>
        <w:tblLayout w:type="fixed"/>
        <w:tblLook w:val="04A0" w:firstRow="1" w:lastRow="0" w:firstColumn="1" w:lastColumn="0" w:noHBand="0" w:noVBand="1"/>
      </w:tblPr>
      <w:tblGrid>
        <w:gridCol w:w="4677"/>
        <w:gridCol w:w="4677"/>
      </w:tblGrid>
      <w:tr w:rsidR="00F941CF" w14:paraId="41936034" w14:textId="77777777">
        <w:tc>
          <w:tcPr>
            <w:tcW w:w="4677" w:type="dxa"/>
            <w:tcMar>
              <w:top w:w="25" w:type="dxa"/>
              <w:left w:w="120" w:type="dxa"/>
              <w:bottom w:w="25" w:type="dxa"/>
              <w:right w:w="120" w:type="dxa"/>
            </w:tcMar>
          </w:tcPr>
          <w:p w14:paraId="047C3B08" w14:textId="77777777" w:rsidR="00F941CF" w:rsidRDefault="00667B8D">
            <w:pPr>
              <w:spacing w:after="0"/>
              <w:rPr>
                <w:rFonts w:hint="eastAsia"/>
              </w:rPr>
            </w:pPr>
            <w:proofErr w:type="spellStart"/>
            <w:r>
              <w:rPr>
                <w:rFonts w:cs="DejaVu Serif"/>
                <w:b/>
                <w:color w:val="000000"/>
                <w:sz w:val="22"/>
              </w:rPr>
              <w:t>Şikayət</w:t>
            </w:r>
            <w:proofErr w:type="spellEnd"/>
            <w:r>
              <w:rPr>
                <w:rFonts w:cs="DejaVu Serif"/>
                <w:b/>
                <w:color w:val="000000"/>
                <w:sz w:val="22"/>
              </w:rPr>
              <w:t xml:space="preserve"> </w:t>
            </w:r>
            <w:proofErr w:type="spellStart"/>
            <w:r>
              <w:rPr>
                <w:rFonts w:cs="DejaVu Serif"/>
                <w:b/>
                <w:color w:val="000000"/>
                <w:sz w:val="22"/>
              </w:rPr>
              <w:t>verən</w:t>
            </w:r>
            <w:proofErr w:type="spellEnd"/>
            <w:r>
              <w:rPr>
                <w:rFonts w:cs="DejaVu Serif"/>
                <w:b/>
                <w:color w:val="000000"/>
                <w:sz w:val="22"/>
              </w:rPr>
              <w:t>:</w:t>
            </w:r>
          </w:p>
        </w:tc>
        <w:tc>
          <w:tcPr>
            <w:tcW w:w="4677" w:type="dxa"/>
            <w:tcMar>
              <w:top w:w="25" w:type="dxa"/>
              <w:left w:w="120" w:type="dxa"/>
              <w:bottom w:w="25" w:type="dxa"/>
              <w:right w:w="120" w:type="dxa"/>
            </w:tcMar>
          </w:tcPr>
          <w:p w14:paraId="2CF15695" w14:textId="77777777" w:rsidR="00F941CF" w:rsidRDefault="00667B8D">
            <w:pPr>
              <w:spacing w:after="0"/>
              <w:rPr>
                <w:rFonts w:hint="eastAsia"/>
              </w:rPr>
            </w:pPr>
            <w:r>
              <w:rPr>
                <w:rFonts w:cs="DejaVu Serif"/>
                <w:color w:val="000000"/>
                <w:sz w:val="22"/>
              </w:rPr>
              <w:t>Cəlilov Seyhun Bahar oğlu</w:t>
            </w:r>
          </w:p>
        </w:tc>
      </w:tr>
      <w:tr w:rsidR="00F941CF" w14:paraId="6202E79C" w14:textId="77777777">
        <w:tc>
          <w:tcPr>
            <w:tcW w:w="4677" w:type="dxa"/>
            <w:tcMar>
              <w:top w:w="25" w:type="dxa"/>
              <w:left w:w="120" w:type="dxa"/>
              <w:bottom w:w="25" w:type="dxa"/>
              <w:right w:w="120" w:type="dxa"/>
            </w:tcMar>
          </w:tcPr>
          <w:p w14:paraId="32888A77" w14:textId="77777777" w:rsidR="006C1A00" w:rsidRDefault="006C1A00">
            <w:pPr>
              <w:spacing w:after="0"/>
              <w:rPr>
                <w:rFonts w:cs="DejaVu Serif" w:hint="eastAsia"/>
                <w:b/>
                <w:color w:val="000000"/>
                <w:sz w:val="22"/>
              </w:rPr>
            </w:pPr>
          </w:p>
          <w:p w14:paraId="72F24078" w14:textId="77777777" w:rsidR="006C1A00" w:rsidRDefault="006C1A00">
            <w:pPr>
              <w:spacing w:after="0"/>
              <w:rPr>
                <w:rFonts w:cs="DejaVu Serif" w:hint="eastAsia"/>
                <w:b/>
                <w:color w:val="000000"/>
                <w:sz w:val="22"/>
              </w:rPr>
            </w:pPr>
          </w:p>
          <w:p w14:paraId="4DDE8F12" w14:textId="52A02EE8" w:rsidR="00F941CF" w:rsidRDefault="00667B8D">
            <w:pPr>
              <w:spacing w:after="0"/>
              <w:rPr>
                <w:rFonts w:hint="eastAsia"/>
              </w:rPr>
            </w:pPr>
            <w:proofErr w:type="spellStart"/>
            <w:r>
              <w:rPr>
                <w:rFonts w:cs="DejaVu Serif"/>
                <w:b/>
                <w:color w:val="000000"/>
                <w:sz w:val="22"/>
              </w:rPr>
              <w:t>İmza</w:t>
            </w:r>
            <w:proofErr w:type="spellEnd"/>
            <w:r>
              <w:rPr>
                <w:rFonts w:cs="DejaVu Serif"/>
                <w:b/>
                <w:color w:val="000000"/>
                <w:sz w:val="22"/>
              </w:rPr>
              <w:t>:</w:t>
            </w:r>
          </w:p>
        </w:tc>
        <w:tc>
          <w:tcPr>
            <w:tcW w:w="4677" w:type="dxa"/>
            <w:tcMar>
              <w:top w:w="25" w:type="dxa"/>
              <w:left w:w="120" w:type="dxa"/>
              <w:bottom w:w="25" w:type="dxa"/>
              <w:right w:w="120" w:type="dxa"/>
            </w:tcMar>
          </w:tcPr>
          <w:p w14:paraId="322A4D9A" w14:textId="77777777" w:rsidR="006C1A00" w:rsidRDefault="006C1A00">
            <w:pPr>
              <w:spacing w:after="0"/>
              <w:rPr>
                <w:rFonts w:cs="DejaVu Serif" w:hint="eastAsia"/>
                <w:color w:val="000000"/>
                <w:sz w:val="22"/>
              </w:rPr>
            </w:pPr>
          </w:p>
          <w:p w14:paraId="5A310453" w14:textId="77777777" w:rsidR="006C1A00" w:rsidRDefault="006C1A00">
            <w:pPr>
              <w:spacing w:after="0"/>
              <w:rPr>
                <w:rFonts w:cs="DejaVu Serif" w:hint="eastAsia"/>
                <w:color w:val="000000"/>
                <w:sz w:val="22"/>
              </w:rPr>
            </w:pPr>
          </w:p>
          <w:p w14:paraId="6E2379C2" w14:textId="1BEFD0FC" w:rsidR="00F941CF" w:rsidRDefault="00667B8D">
            <w:pPr>
              <w:spacing w:after="0"/>
              <w:rPr>
                <w:rFonts w:hint="eastAsia"/>
              </w:rPr>
            </w:pPr>
            <w:r>
              <w:rPr>
                <w:rFonts w:cs="DejaVu Serif"/>
                <w:color w:val="000000"/>
                <w:sz w:val="22"/>
              </w:rPr>
              <w:t>________________________</w:t>
            </w:r>
          </w:p>
        </w:tc>
      </w:tr>
      <w:tr w:rsidR="00F941CF" w14:paraId="0556A51C" w14:textId="77777777">
        <w:tc>
          <w:tcPr>
            <w:tcW w:w="4677" w:type="dxa"/>
            <w:tcMar>
              <w:top w:w="25" w:type="dxa"/>
              <w:left w:w="120" w:type="dxa"/>
              <w:bottom w:w="25" w:type="dxa"/>
              <w:right w:w="120" w:type="dxa"/>
            </w:tcMar>
          </w:tcPr>
          <w:p w14:paraId="247C2750" w14:textId="77777777" w:rsidR="00F941CF" w:rsidRDefault="00667B8D">
            <w:pPr>
              <w:spacing w:after="0"/>
              <w:rPr>
                <w:rFonts w:hint="eastAsia"/>
              </w:rPr>
            </w:pPr>
            <w:r>
              <w:rPr>
                <w:rFonts w:cs="DejaVu Serif"/>
                <w:b/>
                <w:color w:val="000000"/>
                <w:sz w:val="22"/>
              </w:rPr>
              <w:t>Tarix:</w:t>
            </w:r>
          </w:p>
        </w:tc>
        <w:tc>
          <w:tcPr>
            <w:tcW w:w="4677" w:type="dxa"/>
            <w:tcMar>
              <w:top w:w="25" w:type="dxa"/>
              <w:left w:w="120" w:type="dxa"/>
              <w:bottom w:w="25" w:type="dxa"/>
              <w:right w:w="120" w:type="dxa"/>
            </w:tcMar>
          </w:tcPr>
          <w:p w14:paraId="49FCE128" w14:textId="77777777" w:rsidR="00F941CF" w:rsidRDefault="00667B8D">
            <w:pPr>
              <w:spacing w:after="0"/>
              <w:rPr>
                <w:rFonts w:hint="eastAsia"/>
              </w:rPr>
            </w:pPr>
            <w:r>
              <w:rPr>
                <w:rFonts w:cs="DejaVu Serif"/>
                <w:color w:val="000000"/>
                <w:sz w:val="22"/>
              </w:rPr>
              <w:t>____ / ____ / 2026</w:t>
            </w:r>
          </w:p>
        </w:tc>
      </w:tr>
    </w:tbl>
    <w:p w14:paraId="6808D406" w14:textId="77777777" w:rsidR="00667B8D" w:rsidRDefault="00667B8D" w:rsidP="006C1A00">
      <w:pPr>
        <w:rPr>
          <w:rFonts w:hint="eastAsia"/>
        </w:rPr>
      </w:pPr>
    </w:p>
    <w:sectPr w:rsidR="00667B8D" w:rsidSect="006C1A00">
      <w:pgSz w:w="11906" w:h="16838"/>
      <w:pgMar w:top="1134" w:right="1134" w:bottom="990" w:left="1417" w:header="454" w:footer="45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DF4B3E" w14:textId="77777777" w:rsidR="00430459" w:rsidRDefault="00430459">
      <w:pPr>
        <w:spacing w:after="0" w:line="240" w:lineRule="auto"/>
        <w:rPr>
          <w:rFonts w:hint="eastAsia"/>
        </w:rPr>
      </w:pPr>
      <w:r>
        <w:separator/>
      </w:r>
    </w:p>
  </w:endnote>
  <w:endnote w:type="continuationSeparator" w:id="0">
    <w:p w14:paraId="0AD033C0" w14:textId="77777777" w:rsidR="00430459" w:rsidRDefault="00430459">
      <w:pPr>
        <w:spacing w:after="0" w:line="240" w:lineRule="auto"/>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DejaVu Serif">
    <w:altName w:val="Cambria"/>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C2449D" w14:textId="77777777" w:rsidR="00430459" w:rsidRDefault="00430459">
      <w:pPr>
        <w:spacing w:after="0" w:line="240" w:lineRule="auto"/>
        <w:rPr>
          <w:rFonts w:hint="eastAsia"/>
        </w:rPr>
      </w:pPr>
      <w:r>
        <w:separator/>
      </w:r>
    </w:p>
  </w:footnote>
  <w:footnote w:type="continuationSeparator" w:id="0">
    <w:p w14:paraId="3457B091" w14:textId="77777777" w:rsidR="00430459" w:rsidRDefault="00430459">
      <w:pPr>
        <w:spacing w:after="0" w:line="240" w:lineRule="auto"/>
        <w:rPr>
          <w:rFonts w:hint="eastAsia"/>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lvlText w:val=""/>
      <w:lvlJc w:val="left"/>
      <w:pPr>
        <w:tabs>
          <w:tab w:val="num" w:pos="360"/>
        </w:tabs>
        <w:ind w:left="360" w:hanging="360"/>
      </w:pPr>
      <w:rPr>
        <w:rFonts w:ascii="Symbol" w:hAnsi="Symbol" w:hint="default"/>
      </w:rPr>
    </w:lvl>
  </w:abstractNum>
  <w:abstractNum w:abstractNumId="9" w15:restartNumberingAfterBreak="0">
    <w:nsid w:val="14967C83"/>
    <w:multiLevelType w:val="singleLevel"/>
    <w:tmpl w:val="E2E89DD0"/>
    <w:lvl w:ilvl="0">
      <w:start w:val="1"/>
      <w:numFmt w:val="decimal"/>
      <w:suff w:val="space"/>
      <w:lvlText w:val="%1."/>
      <w:lvlJc w:val="left"/>
      <w:pPr>
        <w:ind w:left="540" w:hanging="360"/>
      </w:pPr>
      <w:rPr>
        <w:rFonts w:ascii="DejaVu Serif" w:hAnsi="DejaVu Serif"/>
      </w:rPr>
    </w:lvl>
  </w:abstractNum>
  <w:abstractNum w:abstractNumId="10" w15:restartNumberingAfterBreak="0">
    <w:nsid w:val="6815329B"/>
    <w:multiLevelType w:val="singleLevel"/>
    <w:tmpl w:val="1ED2B878"/>
    <w:lvl w:ilvl="0">
      <w:start w:val="1"/>
      <w:numFmt w:val="decimal"/>
      <w:pStyle w:val="a"/>
      <w:suff w:val="space"/>
      <w:lvlText w:val="%1."/>
      <w:lvlJc w:val="left"/>
      <w:pPr>
        <w:ind w:left="540" w:hanging="360"/>
      </w:pPr>
      <w:rPr>
        <w:rFonts w:ascii="DejaVu Serif" w:hAnsi="DejaVu Serif"/>
      </w:rPr>
    </w:lvl>
  </w:abstractNum>
  <w:abstractNum w:abstractNumId="11" w15:restartNumberingAfterBreak="0">
    <w:nsid w:val="71A521E5"/>
    <w:multiLevelType w:val="singleLevel"/>
    <w:tmpl w:val="020E4B30"/>
    <w:lvl w:ilvl="0">
      <w:start w:val="1"/>
      <w:numFmt w:val="decimal"/>
      <w:suff w:val="space"/>
      <w:lvlText w:val="%1."/>
      <w:lvlJc w:val="left"/>
      <w:pPr>
        <w:ind w:left="540" w:hanging="360"/>
      </w:pPr>
      <w:rPr>
        <w:rFonts w:ascii="DejaVu Serif" w:hAnsi="DejaVu Serif"/>
      </w:rPr>
    </w:lvl>
  </w:abstractNum>
  <w:num w:numId="1">
    <w:abstractNumId w:val="10"/>
  </w:num>
  <w:num w:numId="2">
    <w:abstractNumId w:val="1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29639D"/>
    <w:rsid w:val="00326F90"/>
    <w:rsid w:val="0034552E"/>
    <w:rsid w:val="00430459"/>
    <w:rsid w:val="005A76FD"/>
    <w:rsid w:val="00667B8D"/>
    <w:rsid w:val="0067787D"/>
    <w:rsid w:val="006C1A00"/>
    <w:rsid w:val="007224EE"/>
    <w:rsid w:val="009900CE"/>
    <w:rsid w:val="00A45C13"/>
    <w:rsid w:val="00AA1D8D"/>
    <w:rsid w:val="00B4280D"/>
    <w:rsid w:val="00B47730"/>
    <w:rsid w:val="00CB0664"/>
    <w:rsid w:val="00E54A7D"/>
    <w:rsid w:val="00EA2C2B"/>
    <w:rsid w:val="00F941CF"/>
    <w:rsid w:val="00FC693F"/>
    <w:rsid w:val="00FD5B9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860D83D"/>
  <w14:defaultImageDpi w14:val="300"/>
  <w15:docId w15:val="{2F4C3602-4F87-4200-8B64-454158C132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FC693F"/>
    <w:pPr>
      <w:spacing w:after="120"/>
    </w:pPr>
    <w:rPr>
      <w:rFonts w:ascii="DejaVu Serif" w:hAnsi="DejaVu Serif"/>
      <w:sz w:val="24"/>
    </w:rPr>
  </w:style>
  <w:style w:type="paragraph" w:styleId="1">
    <w:name w:val="heading 1"/>
    <w:basedOn w:val="a0"/>
    <w:next w:val="a0"/>
    <w:link w:val="10"/>
    <w:uiPriority w:val="9"/>
    <w:qFormat/>
    <w:rsid w:val="00FC693F"/>
    <w:pPr>
      <w:keepNext/>
      <w:keepLines/>
      <w:spacing w:before="240"/>
      <w:outlineLvl w:val="0"/>
    </w:pPr>
    <w:rPr>
      <w:rFonts w:asciiTheme="majorHAnsi" w:eastAsiaTheme="majorEastAsia" w:hAnsiTheme="majorHAnsi" w:cstheme="majorBidi"/>
      <w:b/>
      <w:bCs/>
      <w:color w:val="000000"/>
      <w:sz w:val="26"/>
      <w:szCs w:val="28"/>
    </w:rPr>
  </w:style>
  <w:style w:type="paragraph" w:styleId="2">
    <w:name w:val="heading 2"/>
    <w:basedOn w:val="a0"/>
    <w:next w:val="a0"/>
    <w:link w:val="20"/>
    <w:uiPriority w:val="9"/>
    <w:unhideWhenUsed/>
    <w:qFormat/>
    <w:rsid w:val="00FC693F"/>
    <w:pPr>
      <w:keepNext/>
      <w:keepLines/>
      <w:spacing w:before="200" w:after="80"/>
      <w:outlineLvl w:val="1"/>
    </w:pPr>
    <w:rPr>
      <w:rFonts w:asciiTheme="majorHAnsi" w:eastAsiaTheme="majorEastAsia" w:hAnsiTheme="majorHAnsi" w:cstheme="majorBidi"/>
      <w:b/>
      <w:bCs/>
      <w:color w:val="000000"/>
      <w:szCs w:val="26"/>
    </w:rPr>
  </w:style>
  <w:style w:type="paragraph" w:styleId="3">
    <w:name w:val="heading 3"/>
    <w:basedOn w:val="a0"/>
    <w:next w:val="a0"/>
    <w:link w:val="30"/>
    <w:uiPriority w:val="9"/>
    <w:unhideWhenUsed/>
    <w:qFormat/>
    <w:rsid w:val="00FC693F"/>
    <w:pPr>
      <w:keepNext/>
      <w:keepLines/>
      <w:spacing w:before="160" w:after="80"/>
      <w:outlineLvl w:val="2"/>
    </w:pPr>
    <w:rPr>
      <w:rFonts w:asciiTheme="majorHAnsi" w:eastAsiaTheme="majorEastAsia" w:hAnsiTheme="majorHAnsi" w:cstheme="majorBidi"/>
      <w:b/>
      <w:bCs/>
      <w:color w:val="000000"/>
    </w:rPr>
  </w:style>
  <w:style w:type="paragraph" w:styleId="4">
    <w:name w:val="heading 4"/>
    <w:basedOn w:val="a0"/>
    <w:next w:val="a0"/>
    <w:link w:val="40"/>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0"/>
    <w:next w:val="a0"/>
    <w:link w:val="50"/>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0"/>
    <w:next w:val="a0"/>
    <w:link w:val="60"/>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0"/>
    <w:next w:val="a0"/>
    <w:link w:val="70"/>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0"/>
    <w:next w:val="a0"/>
    <w:link w:val="80"/>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9">
    <w:name w:val="heading 9"/>
    <w:basedOn w:val="a0"/>
    <w:next w:val="a0"/>
    <w:link w:val="90"/>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header"/>
    <w:basedOn w:val="a0"/>
    <w:link w:val="a5"/>
    <w:uiPriority w:val="99"/>
    <w:unhideWhenUsed/>
    <w:rsid w:val="00E618BF"/>
    <w:pPr>
      <w:tabs>
        <w:tab w:val="center" w:pos="4680"/>
        <w:tab w:val="right" w:pos="9360"/>
      </w:tabs>
      <w:spacing w:after="0" w:line="240" w:lineRule="auto"/>
    </w:pPr>
  </w:style>
  <w:style w:type="character" w:customStyle="1" w:styleId="a5">
    <w:name w:val="Верхний колонтитул Знак"/>
    <w:basedOn w:val="a1"/>
    <w:link w:val="a4"/>
    <w:uiPriority w:val="99"/>
    <w:rsid w:val="00E618BF"/>
  </w:style>
  <w:style w:type="paragraph" w:styleId="a6">
    <w:name w:val="footer"/>
    <w:basedOn w:val="a0"/>
    <w:link w:val="a7"/>
    <w:uiPriority w:val="99"/>
    <w:unhideWhenUsed/>
    <w:rsid w:val="00E618BF"/>
    <w:pPr>
      <w:tabs>
        <w:tab w:val="center" w:pos="4680"/>
        <w:tab w:val="right" w:pos="9360"/>
      </w:tabs>
      <w:spacing w:after="0" w:line="240" w:lineRule="auto"/>
    </w:pPr>
  </w:style>
  <w:style w:type="character" w:customStyle="1" w:styleId="a7">
    <w:name w:val="Нижний колонтитул Знак"/>
    <w:basedOn w:val="a1"/>
    <w:link w:val="a6"/>
    <w:uiPriority w:val="99"/>
    <w:rsid w:val="00E618BF"/>
  </w:style>
  <w:style w:type="paragraph" w:styleId="a8">
    <w:name w:val="No Spacing"/>
    <w:uiPriority w:val="1"/>
    <w:qFormat/>
    <w:rsid w:val="00FC693F"/>
    <w:pPr>
      <w:spacing w:after="0" w:line="240" w:lineRule="auto"/>
    </w:pPr>
  </w:style>
  <w:style w:type="character" w:customStyle="1" w:styleId="10">
    <w:name w:val="Заголовок 1 Знак"/>
    <w:basedOn w:val="a1"/>
    <w:link w:val="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1"/>
    <w:link w:val="2"/>
    <w:uiPriority w:val="9"/>
    <w:rsid w:val="00FC693F"/>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1"/>
    <w:link w:val="3"/>
    <w:uiPriority w:val="9"/>
    <w:rsid w:val="00FC693F"/>
    <w:rPr>
      <w:rFonts w:asciiTheme="majorHAnsi" w:eastAsiaTheme="majorEastAsia" w:hAnsiTheme="majorHAnsi" w:cstheme="majorBidi"/>
      <w:b/>
      <w:bCs/>
      <w:color w:val="4F81BD" w:themeColor="accent1"/>
    </w:rPr>
  </w:style>
  <w:style w:type="paragraph" w:styleId="a9">
    <w:name w:val="Title"/>
    <w:basedOn w:val="a0"/>
    <w:next w:val="a0"/>
    <w:link w:val="aa"/>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a">
    <w:name w:val="Заголовок Знак"/>
    <w:basedOn w:val="a1"/>
    <w:link w:val="a9"/>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b">
    <w:name w:val="Subtitle"/>
    <w:basedOn w:val="a0"/>
    <w:next w:val="a0"/>
    <w:link w:val="ac"/>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ac">
    <w:name w:val="Подзаголовок Знак"/>
    <w:basedOn w:val="a1"/>
    <w:link w:val="ab"/>
    <w:uiPriority w:val="11"/>
    <w:rsid w:val="00FC693F"/>
    <w:rPr>
      <w:rFonts w:asciiTheme="majorHAnsi" w:eastAsiaTheme="majorEastAsia" w:hAnsiTheme="majorHAnsi" w:cstheme="majorBidi"/>
      <w:i/>
      <w:iCs/>
      <w:color w:val="4F81BD" w:themeColor="accent1"/>
      <w:spacing w:val="15"/>
      <w:sz w:val="24"/>
      <w:szCs w:val="24"/>
    </w:rPr>
  </w:style>
  <w:style w:type="paragraph" w:styleId="ad">
    <w:name w:val="List Paragraph"/>
    <w:basedOn w:val="a0"/>
    <w:uiPriority w:val="34"/>
    <w:qFormat/>
    <w:rsid w:val="00FC693F"/>
    <w:pPr>
      <w:ind w:left="720"/>
      <w:contextualSpacing/>
    </w:pPr>
  </w:style>
  <w:style w:type="paragraph" w:styleId="ae">
    <w:name w:val="Body Text"/>
    <w:basedOn w:val="a0"/>
    <w:link w:val="af"/>
    <w:uiPriority w:val="99"/>
    <w:unhideWhenUsed/>
    <w:rsid w:val="00AA1D8D"/>
  </w:style>
  <w:style w:type="character" w:customStyle="1" w:styleId="af">
    <w:name w:val="Основной текст Знак"/>
    <w:basedOn w:val="a1"/>
    <w:link w:val="ae"/>
    <w:uiPriority w:val="99"/>
    <w:rsid w:val="00AA1D8D"/>
  </w:style>
  <w:style w:type="paragraph" w:styleId="21">
    <w:name w:val="Body Text 2"/>
    <w:basedOn w:val="a0"/>
    <w:link w:val="22"/>
    <w:uiPriority w:val="99"/>
    <w:unhideWhenUsed/>
    <w:rsid w:val="00AA1D8D"/>
    <w:pPr>
      <w:spacing w:line="480" w:lineRule="auto"/>
    </w:pPr>
  </w:style>
  <w:style w:type="character" w:customStyle="1" w:styleId="22">
    <w:name w:val="Основной текст 2 Знак"/>
    <w:basedOn w:val="a1"/>
    <w:link w:val="21"/>
    <w:uiPriority w:val="99"/>
    <w:rsid w:val="00AA1D8D"/>
  </w:style>
  <w:style w:type="paragraph" w:styleId="31">
    <w:name w:val="Body Text 3"/>
    <w:basedOn w:val="a0"/>
    <w:link w:val="32"/>
    <w:uiPriority w:val="99"/>
    <w:unhideWhenUsed/>
    <w:rsid w:val="00AA1D8D"/>
    <w:rPr>
      <w:sz w:val="16"/>
      <w:szCs w:val="16"/>
    </w:rPr>
  </w:style>
  <w:style w:type="character" w:customStyle="1" w:styleId="32">
    <w:name w:val="Основной текст 3 Знак"/>
    <w:basedOn w:val="a1"/>
    <w:link w:val="31"/>
    <w:uiPriority w:val="99"/>
    <w:rsid w:val="00AA1D8D"/>
    <w:rPr>
      <w:sz w:val="16"/>
      <w:szCs w:val="16"/>
    </w:rPr>
  </w:style>
  <w:style w:type="paragraph" w:styleId="af0">
    <w:name w:val="List"/>
    <w:basedOn w:val="a0"/>
    <w:uiPriority w:val="99"/>
    <w:unhideWhenUsed/>
    <w:rsid w:val="00AA1D8D"/>
    <w:pPr>
      <w:ind w:left="360" w:hanging="360"/>
      <w:contextualSpacing/>
    </w:pPr>
  </w:style>
  <w:style w:type="paragraph" w:styleId="23">
    <w:name w:val="List 2"/>
    <w:basedOn w:val="a0"/>
    <w:uiPriority w:val="99"/>
    <w:unhideWhenUsed/>
    <w:rsid w:val="00326F90"/>
    <w:pPr>
      <w:ind w:left="720" w:hanging="360"/>
      <w:contextualSpacing/>
    </w:pPr>
  </w:style>
  <w:style w:type="paragraph" w:styleId="33">
    <w:name w:val="List 3"/>
    <w:basedOn w:val="a0"/>
    <w:uiPriority w:val="99"/>
    <w:unhideWhenUsed/>
    <w:rsid w:val="00326F90"/>
    <w:pPr>
      <w:ind w:left="1080" w:hanging="360"/>
      <w:contextualSpacing/>
    </w:pPr>
  </w:style>
  <w:style w:type="paragraph" w:styleId="a">
    <w:name w:val="List Bullet"/>
    <w:basedOn w:val="a0"/>
    <w:uiPriority w:val="99"/>
    <w:unhideWhenUsed/>
    <w:rsid w:val="00326F90"/>
    <w:pPr>
      <w:numPr>
        <w:numId w:val="1"/>
      </w:numPr>
      <w:contextualSpacing/>
    </w:pPr>
  </w:style>
  <w:style w:type="paragraph" w:styleId="24">
    <w:name w:val="List Bullet 2"/>
    <w:basedOn w:val="a0"/>
    <w:uiPriority w:val="99"/>
    <w:unhideWhenUsed/>
    <w:rsid w:val="00326F90"/>
    <w:pPr>
      <w:tabs>
        <w:tab w:val="num" w:pos="360"/>
      </w:tabs>
      <w:contextualSpacing/>
    </w:pPr>
  </w:style>
  <w:style w:type="paragraph" w:styleId="34">
    <w:name w:val="List Bullet 3"/>
    <w:basedOn w:val="a0"/>
    <w:uiPriority w:val="99"/>
    <w:unhideWhenUsed/>
    <w:rsid w:val="00326F90"/>
    <w:pPr>
      <w:tabs>
        <w:tab w:val="num" w:pos="360"/>
      </w:tabs>
      <w:contextualSpacing/>
    </w:pPr>
  </w:style>
  <w:style w:type="paragraph" w:styleId="af1">
    <w:name w:val="List Number"/>
    <w:basedOn w:val="a0"/>
    <w:uiPriority w:val="99"/>
    <w:unhideWhenUsed/>
    <w:rsid w:val="00326F90"/>
    <w:pPr>
      <w:tabs>
        <w:tab w:val="num" w:pos="360"/>
      </w:tabs>
      <w:contextualSpacing/>
    </w:pPr>
  </w:style>
  <w:style w:type="paragraph" w:styleId="25">
    <w:name w:val="List Number 2"/>
    <w:basedOn w:val="a0"/>
    <w:uiPriority w:val="99"/>
    <w:unhideWhenUsed/>
    <w:rsid w:val="0029639D"/>
    <w:pPr>
      <w:tabs>
        <w:tab w:val="num" w:pos="360"/>
      </w:tabs>
      <w:contextualSpacing/>
    </w:pPr>
  </w:style>
  <w:style w:type="paragraph" w:styleId="35">
    <w:name w:val="List Number 3"/>
    <w:basedOn w:val="a0"/>
    <w:uiPriority w:val="99"/>
    <w:unhideWhenUsed/>
    <w:rsid w:val="0029639D"/>
    <w:pPr>
      <w:tabs>
        <w:tab w:val="num" w:pos="360"/>
      </w:tabs>
      <w:contextualSpacing/>
    </w:pPr>
  </w:style>
  <w:style w:type="paragraph" w:styleId="af2">
    <w:name w:val="List Continue"/>
    <w:basedOn w:val="a0"/>
    <w:uiPriority w:val="99"/>
    <w:unhideWhenUsed/>
    <w:rsid w:val="0029639D"/>
    <w:pPr>
      <w:ind w:left="360"/>
      <w:contextualSpacing/>
    </w:pPr>
  </w:style>
  <w:style w:type="paragraph" w:styleId="26">
    <w:name w:val="List Continue 2"/>
    <w:basedOn w:val="a0"/>
    <w:uiPriority w:val="99"/>
    <w:unhideWhenUsed/>
    <w:rsid w:val="0029639D"/>
    <w:pPr>
      <w:ind w:left="720"/>
      <w:contextualSpacing/>
    </w:pPr>
  </w:style>
  <w:style w:type="paragraph" w:styleId="36">
    <w:name w:val="List Continue 3"/>
    <w:basedOn w:val="a0"/>
    <w:uiPriority w:val="99"/>
    <w:unhideWhenUsed/>
    <w:rsid w:val="0029639D"/>
    <w:pPr>
      <w:ind w:left="1080"/>
      <w:contextualSpacing/>
    </w:pPr>
  </w:style>
  <w:style w:type="paragraph" w:styleId="af3">
    <w:name w:val="macro"/>
    <w:link w:val="af4"/>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af4">
    <w:name w:val="Текст макроса Знак"/>
    <w:basedOn w:val="a1"/>
    <w:link w:val="af3"/>
    <w:uiPriority w:val="99"/>
    <w:rsid w:val="0029639D"/>
    <w:rPr>
      <w:rFonts w:ascii="Courier" w:hAnsi="Courier"/>
      <w:sz w:val="20"/>
      <w:szCs w:val="20"/>
    </w:rPr>
  </w:style>
  <w:style w:type="paragraph" w:styleId="27">
    <w:name w:val="Quote"/>
    <w:basedOn w:val="a0"/>
    <w:next w:val="a0"/>
    <w:link w:val="28"/>
    <w:uiPriority w:val="29"/>
    <w:qFormat/>
    <w:rsid w:val="00FC693F"/>
    <w:rPr>
      <w:i/>
      <w:iCs/>
      <w:color w:val="000000" w:themeColor="text1"/>
    </w:rPr>
  </w:style>
  <w:style w:type="character" w:customStyle="1" w:styleId="28">
    <w:name w:val="Цитата 2 Знак"/>
    <w:basedOn w:val="a1"/>
    <w:link w:val="27"/>
    <w:uiPriority w:val="29"/>
    <w:rsid w:val="00FC693F"/>
    <w:rPr>
      <w:i/>
      <w:iCs/>
      <w:color w:val="000000" w:themeColor="text1"/>
    </w:rPr>
  </w:style>
  <w:style w:type="character" w:customStyle="1" w:styleId="40">
    <w:name w:val="Заголовок 4 Знак"/>
    <w:basedOn w:val="a1"/>
    <w:link w:val="4"/>
    <w:uiPriority w:val="9"/>
    <w:semiHidden/>
    <w:rsid w:val="00FC693F"/>
    <w:rPr>
      <w:rFonts w:asciiTheme="majorHAnsi" w:eastAsiaTheme="majorEastAsia" w:hAnsiTheme="majorHAnsi" w:cstheme="majorBidi"/>
      <w:b/>
      <w:bCs/>
      <w:i/>
      <w:iCs/>
      <w:color w:val="4F81BD" w:themeColor="accent1"/>
    </w:rPr>
  </w:style>
  <w:style w:type="character" w:customStyle="1" w:styleId="50">
    <w:name w:val="Заголовок 5 Знак"/>
    <w:basedOn w:val="a1"/>
    <w:link w:val="5"/>
    <w:uiPriority w:val="9"/>
    <w:semiHidden/>
    <w:rsid w:val="00FC693F"/>
    <w:rPr>
      <w:rFonts w:asciiTheme="majorHAnsi" w:eastAsiaTheme="majorEastAsia" w:hAnsiTheme="majorHAnsi" w:cstheme="majorBidi"/>
      <w:color w:val="243F60" w:themeColor="accent1" w:themeShade="7F"/>
    </w:rPr>
  </w:style>
  <w:style w:type="character" w:customStyle="1" w:styleId="60">
    <w:name w:val="Заголовок 6 Знак"/>
    <w:basedOn w:val="a1"/>
    <w:link w:val="6"/>
    <w:uiPriority w:val="9"/>
    <w:semiHidden/>
    <w:rsid w:val="00FC693F"/>
    <w:rPr>
      <w:rFonts w:asciiTheme="majorHAnsi" w:eastAsiaTheme="majorEastAsia" w:hAnsiTheme="majorHAnsi" w:cstheme="majorBidi"/>
      <w:i/>
      <w:iCs/>
      <w:color w:val="243F60" w:themeColor="accent1" w:themeShade="7F"/>
    </w:rPr>
  </w:style>
  <w:style w:type="character" w:customStyle="1" w:styleId="70">
    <w:name w:val="Заголовок 7 Знак"/>
    <w:basedOn w:val="a1"/>
    <w:link w:val="7"/>
    <w:uiPriority w:val="9"/>
    <w:semiHidden/>
    <w:rsid w:val="00FC693F"/>
    <w:rPr>
      <w:rFonts w:asciiTheme="majorHAnsi" w:eastAsiaTheme="majorEastAsia" w:hAnsiTheme="majorHAnsi" w:cstheme="majorBidi"/>
      <w:i/>
      <w:iCs/>
      <w:color w:val="404040" w:themeColor="text1" w:themeTint="BF"/>
    </w:rPr>
  </w:style>
  <w:style w:type="character" w:customStyle="1" w:styleId="80">
    <w:name w:val="Заголовок 8 Знак"/>
    <w:basedOn w:val="a1"/>
    <w:link w:val="8"/>
    <w:uiPriority w:val="9"/>
    <w:semiHidden/>
    <w:rsid w:val="00FC693F"/>
    <w:rPr>
      <w:rFonts w:asciiTheme="majorHAnsi" w:eastAsiaTheme="majorEastAsia" w:hAnsiTheme="majorHAnsi" w:cstheme="majorBidi"/>
      <w:color w:val="4F81BD" w:themeColor="accent1"/>
      <w:sz w:val="20"/>
      <w:szCs w:val="20"/>
    </w:rPr>
  </w:style>
  <w:style w:type="character" w:customStyle="1" w:styleId="90">
    <w:name w:val="Заголовок 9 Знак"/>
    <w:basedOn w:val="a1"/>
    <w:link w:val="9"/>
    <w:uiPriority w:val="9"/>
    <w:semiHidden/>
    <w:rsid w:val="00FC693F"/>
    <w:rPr>
      <w:rFonts w:asciiTheme="majorHAnsi" w:eastAsiaTheme="majorEastAsia" w:hAnsiTheme="majorHAnsi" w:cstheme="majorBidi"/>
      <w:i/>
      <w:iCs/>
      <w:color w:val="404040" w:themeColor="text1" w:themeTint="BF"/>
      <w:sz w:val="20"/>
      <w:szCs w:val="20"/>
    </w:rPr>
  </w:style>
  <w:style w:type="paragraph" w:styleId="af5">
    <w:name w:val="caption"/>
    <w:basedOn w:val="a0"/>
    <w:next w:val="a0"/>
    <w:uiPriority w:val="35"/>
    <w:semiHidden/>
    <w:unhideWhenUsed/>
    <w:qFormat/>
    <w:rsid w:val="00FC693F"/>
    <w:pPr>
      <w:spacing w:line="240" w:lineRule="auto"/>
    </w:pPr>
    <w:rPr>
      <w:b/>
      <w:bCs/>
      <w:color w:val="4F81BD" w:themeColor="accent1"/>
      <w:sz w:val="18"/>
      <w:szCs w:val="18"/>
    </w:rPr>
  </w:style>
  <w:style w:type="character" w:styleId="af6">
    <w:name w:val="Strong"/>
    <w:basedOn w:val="a1"/>
    <w:uiPriority w:val="22"/>
    <w:qFormat/>
    <w:rsid w:val="00FC693F"/>
    <w:rPr>
      <w:b/>
      <w:bCs/>
    </w:rPr>
  </w:style>
  <w:style w:type="character" w:styleId="af7">
    <w:name w:val="Emphasis"/>
    <w:basedOn w:val="a1"/>
    <w:uiPriority w:val="20"/>
    <w:qFormat/>
    <w:rsid w:val="00FC693F"/>
    <w:rPr>
      <w:i/>
      <w:iCs/>
    </w:rPr>
  </w:style>
  <w:style w:type="paragraph" w:styleId="af8">
    <w:name w:val="Intense Quote"/>
    <w:basedOn w:val="a0"/>
    <w:next w:val="a0"/>
    <w:link w:val="af9"/>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af9">
    <w:name w:val="Выделенная цитата Знак"/>
    <w:basedOn w:val="a1"/>
    <w:link w:val="af8"/>
    <w:uiPriority w:val="30"/>
    <w:rsid w:val="00FC693F"/>
    <w:rPr>
      <w:b/>
      <w:bCs/>
      <w:i/>
      <w:iCs/>
      <w:color w:val="4F81BD" w:themeColor="accent1"/>
    </w:rPr>
  </w:style>
  <w:style w:type="character" w:styleId="afa">
    <w:name w:val="Subtle Emphasis"/>
    <w:basedOn w:val="a1"/>
    <w:uiPriority w:val="19"/>
    <w:qFormat/>
    <w:rsid w:val="00FC693F"/>
    <w:rPr>
      <w:i/>
      <w:iCs/>
      <w:color w:val="808080" w:themeColor="text1" w:themeTint="7F"/>
    </w:rPr>
  </w:style>
  <w:style w:type="character" w:styleId="afb">
    <w:name w:val="Intense Emphasis"/>
    <w:basedOn w:val="a1"/>
    <w:uiPriority w:val="21"/>
    <w:qFormat/>
    <w:rsid w:val="00FC693F"/>
    <w:rPr>
      <w:b/>
      <w:bCs/>
      <w:i/>
      <w:iCs/>
      <w:color w:val="4F81BD" w:themeColor="accent1"/>
    </w:rPr>
  </w:style>
  <w:style w:type="character" w:styleId="afc">
    <w:name w:val="Subtle Reference"/>
    <w:basedOn w:val="a1"/>
    <w:uiPriority w:val="31"/>
    <w:qFormat/>
    <w:rsid w:val="00FC693F"/>
    <w:rPr>
      <w:smallCaps/>
      <w:color w:val="C0504D" w:themeColor="accent2"/>
      <w:u w:val="single"/>
    </w:rPr>
  </w:style>
  <w:style w:type="character" w:styleId="afd">
    <w:name w:val="Intense Reference"/>
    <w:basedOn w:val="a1"/>
    <w:uiPriority w:val="32"/>
    <w:qFormat/>
    <w:rsid w:val="00FC693F"/>
    <w:rPr>
      <w:b/>
      <w:bCs/>
      <w:smallCaps/>
      <w:color w:val="C0504D" w:themeColor="accent2"/>
      <w:spacing w:val="5"/>
      <w:u w:val="single"/>
    </w:rPr>
  </w:style>
  <w:style w:type="character" w:styleId="afe">
    <w:name w:val="Book Title"/>
    <w:basedOn w:val="a1"/>
    <w:uiPriority w:val="33"/>
    <w:qFormat/>
    <w:rsid w:val="00FC693F"/>
    <w:rPr>
      <w:b/>
      <w:bCs/>
      <w:smallCaps/>
      <w:spacing w:val="5"/>
    </w:rPr>
  </w:style>
  <w:style w:type="paragraph" w:styleId="aff">
    <w:name w:val="TOC Heading"/>
    <w:basedOn w:val="1"/>
    <w:next w:val="a0"/>
    <w:uiPriority w:val="39"/>
    <w:semiHidden/>
    <w:unhideWhenUsed/>
    <w:qFormat/>
    <w:rsid w:val="00FC693F"/>
    <w:pPr>
      <w:outlineLvl w:val="9"/>
    </w:pPr>
  </w:style>
  <w:style w:type="table" w:styleId="aff0">
    <w:name w:val="Table Grid"/>
    <w:basedOn w:val="a2"/>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1">
    <w:name w:val="Light Shading"/>
    <w:basedOn w:val="a2"/>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1">
    <w:name w:val="Light Shading Accent 1"/>
    <w:basedOn w:val="a2"/>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2">
    <w:name w:val="Light Shading Accent 2"/>
    <w:basedOn w:val="a2"/>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3">
    <w:name w:val="Light Shading Accent 3"/>
    <w:basedOn w:val="a2"/>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4">
    <w:name w:val="Light Shading Accent 4"/>
    <w:basedOn w:val="a2"/>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5">
    <w:name w:val="Light Shading Accent 5"/>
    <w:basedOn w:val="a2"/>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6">
    <w:name w:val="Light Shading Accent 6"/>
    <w:basedOn w:val="a2"/>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ff2">
    <w:name w:val="Light List"/>
    <w:basedOn w:val="a2"/>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10">
    <w:name w:val="Light List Accent 1"/>
    <w:basedOn w:val="a2"/>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20">
    <w:name w:val="Light List Accent 2"/>
    <w:basedOn w:val="a2"/>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30">
    <w:name w:val="Light List Accent 3"/>
    <w:basedOn w:val="a2"/>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40">
    <w:name w:val="Light List Accent 4"/>
    <w:basedOn w:val="a2"/>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50">
    <w:name w:val="Light List Accent 5"/>
    <w:basedOn w:val="a2"/>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60">
    <w:name w:val="Light List Accent 6"/>
    <w:basedOn w:val="a2"/>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ff3">
    <w:name w:val="Light Grid"/>
    <w:basedOn w:val="a2"/>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11">
    <w:name w:val="Light Grid Accent 1"/>
    <w:basedOn w:val="a2"/>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21">
    <w:name w:val="Light Grid Accent 2"/>
    <w:basedOn w:val="a2"/>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31">
    <w:name w:val="Light Grid Accent 3"/>
    <w:basedOn w:val="a2"/>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41">
    <w:name w:val="Light Grid Accent 4"/>
    <w:basedOn w:val="a2"/>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51">
    <w:name w:val="Light Grid Accent 5"/>
    <w:basedOn w:val="a2"/>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61">
    <w:name w:val="Light Grid Accent 6"/>
    <w:basedOn w:val="a2"/>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11">
    <w:name w:val="Medium Shading 1"/>
    <w:basedOn w:val="a2"/>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1-1">
    <w:name w:val="Medium Shading 1 Accent 1"/>
    <w:basedOn w:val="a2"/>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1-2">
    <w:name w:val="Medium Shading 1 Accent 2"/>
    <w:basedOn w:val="a2"/>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1-3">
    <w:name w:val="Medium Shading 1 Accent 3"/>
    <w:basedOn w:val="a2"/>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1-4">
    <w:name w:val="Medium Shading 1 Accent 4"/>
    <w:basedOn w:val="a2"/>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1-5">
    <w:name w:val="Medium Shading 1 Accent 5"/>
    <w:basedOn w:val="a2"/>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1-6">
    <w:name w:val="Medium Shading 1 Accent 6"/>
    <w:basedOn w:val="a2"/>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29">
    <w:name w:val="Medium Shading 2"/>
    <w:basedOn w:val="a2"/>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1">
    <w:name w:val="Medium Shading 2 Accent 1"/>
    <w:basedOn w:val="a2"/>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2">
    <w:name w:val="Medium Shading 2 Accent 2"/>
    <w:basedOn w:val="a2"/>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3">
    <w:name w:val="Medium Shading 2 Accent 3"/>
    <w:basedOn w:val="a2"/>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4">
    <w:name w:val="Medium Shading 2 Accent 4"/>
    <w:basedOn w:val="a2"/>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5">
    <w:name w:val="Medium Shading 2 Accent 5"/>
    <w:basedOn w:val="a2"/>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6">
    <w:name w:val="Medium Shading 2 Accent 6"/>
    <w:basedOn w:val="a2"/>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12">
    <w:name w:val="Medium List 1"/>
    <w:basedOn w:val="a2"/>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1-10">
    <w:name w:val="Medium List 1 Accent 1"/>
    <w:basedOn w:val="a2"/>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1-20">
    <w:name w:val="Medium List 1 Accent 2"/>
    <w:basedOn w:val="a2"/>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1-30">
    <w:name w:val="Medium List 1 Accent 3"/>
    <w:basedOn w:val="a2"/>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1-40">
    <w:name w:val="Medium List 1 Accent 4"/>
    <w:basedOn w:val="a2"/>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1-50">
    <w:name w:val="Medium List 1 Accent 5"/>
    <w:basedOn w:val="a2"/>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1-60">
    <w:name w:val="Medium List 1 Accent 6"/>
    <w:basedOn w:val="a2"/>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2a">
    <w:name w:val="Medium List 2"/>
    <w:basedOn w:val="a2"/>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2-10">
    <w:name w:val="Medium List 2 Accent 1"/>
    <w:basedOn w:val="a2"/>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2-20">
    <w:name w:val="Medium List 2 Accent 2"/>
    <w:basedOn w:val="a2"/>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2-30">
    <w:name w:val="Medium List 2 Accent 3"/>
    <w:basedOn w:val="a2"/>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2-40">
    <w:name w:val="Medium List 2 Accent 4"/>
    <w:basedOn w:val="a2"/>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2-50">
    <w:name w:val="Medium List 2 Accent 5"/>
    <w:basedOn w:val="a2"/>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2-60">
    <w:name w:val="Medium List 2 Accent 6"/>
    <w:basedOn w:val="a2"/>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13">
    <w:name w:val="Medium Grid 1"/>
    <w:basedOn w:val="a2"/>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11">
    <w:name w:val="Medium Grid 1 Accent 1"/>
    <w:basedOn w:val="a2"/>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1-21">
    <w:name w:val="Medium Grid 1 Accent 2"/>
    <w:basedOn w:val="a2"/>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31">
    <w:name w:val="Medium Grid 1 Accent 3"/>
    <w:basedOn w:val="a2"/>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41">
    <w:name w:val="Medium Grid 1 Accent 4"/>
    <w:basedOn w:val="a2"/>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51">
    <w:name w:val="Medium Grid 1 Accent 5"/>
    <w:basedOn w:val="a2"/>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61">
    <w:name w:val="Medium Grid 1 Accent 6"/>
    <w:basedOn w:val="a2"/>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2b">
    <w:name w:val="Medium Grid 2"/>
    <w:basedOn w:val="a2"/>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2-11">
    <w:name w:val="Medium Grid 2 Accent 1"/>
    <w:basedOn w:val="a2"/>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2-21">
    <w:name w:val="Medium Grid 2 Accent 2"/>
    <w:basedOn w:val="a2"/>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2-31">
    <w:name w:val="Medium Grid 2 Accent 3"/>
    <w:basedOn w:val="a2"/>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2-41">
    <w:name w:val="Medium Grid 2 Accent 4"/>
    <w:basedOn w:val="a2"/>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2-51">
    <w:name w:val="Medium Grid 2 Accent 5"/>
    <w:basedOn w:val="a2"/>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2-61">
    <w:name w:val="Medium Grid 2 Accent 6"/>
    <w:basedOn w:val="a2"/>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37">
    <w:name w:val="Medium Grid 3"/>
    <w:basedOn w:val="a2"/>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3-1">
    <w:name w:val="Medium Grid 3 Accent 1"/>
    <w:basedOn w:val="a2"/>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3-2">
    <w:name w:val="Medium Grid 3 Accent 2"/>
    <w:basedOn w:val="a2"/>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3-3">
    <w:name w:val="Medium Grid 3 Accent 3"/>
    <w:basedOn w:val="a2"/>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3-4">
    <w:name w:val="Medium Grid 3 Accent 4"/>
    <w:basedOn w:val="a2"/>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3-5">
    <w:name w:val="Medium Grid 3 Accent 5"/>
    <w:basedOn w:val="a2"/>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3-6">
    <w:name w:val="Medium Grid 3 Accent 6"/>
    <w:basedOn w:val="a2"/>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aff4">
    <w:name w:val="Dark List"/>
    <w:basedOn w:val="a2"/>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2">
    <w:name w:val="Dark List Accent 1"/>
    <w:basedOn w:val="a2"/>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22">
    <w:name w:val="Dark List Accent 2"/>
    <w:basedOn w:val="a2"/>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32">
    <w:name w:val="Dark List Accent 3"/>
    <w:basedOn w:val="a2"/>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42">
    <w:name w:val="Dark List Accent 4"/>
    <w:basedOn w:val="a2"/>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52">
    <w:name w:val="Dark List Accent 5"/>
    <w:basedOn w:val="a2"/>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62">
    <w:name w:val="Dark List Accent 6"/>
    <w:basedOn w:val="a2"/>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aff5">
    <w:name w:val="Colorful Shading"/>
    <w:basedOn w:val="a2"/>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13">
    <w:name w:val="Colorful Shading Accent 1"/>
    <w:basedOn w:val="a2"/>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23">
    <w:name w:val="Colorful Shading Accent 2"/>
    <w:basedOn w:val="a2"/>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33">
    <w:name w:val="Colorful Shading Accent 3"/>
    <w:basedOn w:val="a2"/>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43">
    <w:name w:val="Colorful Shading Accent 4"/>
    <w:basedOn w:val="a2"/>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53">
    <w:name w:val="Colorful Shading Accent 5"/>
    <w:basedOn w:val="a2"/>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63">
    <w:name w:val="Colorful Shading Accent 6"/>
    <w:basedOn w:val="a2"/>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aff6">
    <w:name w:val="Colorful List"/>
    <w:basedOn w:val="a2"/>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14">
    <w:name w:val="Colorful List Accent 1"/>
    <w:basedOn w:val="a2"/>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24">
    <w:name w:val="Colorful List Accent 2"/>
    <w:basedOn w:val="a2"/>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34">
    <w:name w:val="Colorful List Accent 3"/>
    <w:basedOn w:val="a2"/>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44">
    <w:name w:val="Colorful List Accent 4"/>
    <w:basedOn w:val="a2"/>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54">
    <w:name w:val="Colorful List Accent 5"/>
    <w:basedOn w:val="a2"/>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64">
    <w:name w:val="Colorful List Accent 6"/>
    <w:basedOn w:val="a2"/>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aff7">
    <w:name w:val="Colorful Grid"/>
    <w:basedOn w:val="a2"/>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5">
    <w:name w:val="Colorful Grid Accent 1"/>
    <w:basedOn w:val="a2"/>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25">
    <w:name w:val="Colorful Grid Accent 2"/>
    <w:basedOn w:val="a2"/>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35">
    <w:name w:val="Colorful Grid Accent 3"/>
    <w:basedOn w:val="a2"/>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45">
    <w:name w:val="Colorful Grid Accent 4"/>
    <w:basedOn w:val="a2"/>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55">
    <w:name w:val="Colorful Grid Accent 5"/>
    <w:basedOn w:val="a2"/>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65">
    <w:name w:val="Colorful Grid Accent 6"/>
    <w:basedOn w:val="a2"/>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204</TotalTime>
  <Pages>5</Pages>
  <Words>1745</Words>
  <Characters>9948</Characters>
  <Application>Microsoft Office Word</Application>
  <DocSecurity>0</DocSecurity>
  <Lines>82</Lines>
  <Paragraphs>23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Quba Rayon Məhkəməsinə inzibati xəta haqqında qərardan şikayət</vt:lpstr>
      <vt:lpstr/>
    </vt:vector>
  </TitlesOfParts>
  <Manager/>
  <Company/>
  <LinksUpToDate>false</LinksUpToDate>
  <CharactersWithSpaces>11670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Quba Rayon Məhkəməsinə inzibati xəta haqqında qərardan şikayət</dc:title>
  <dc:subject>MN № 1809223 nömrəli qərarın ləğvi barədə şikayət</dc:subject>
  <dc:creator>Ayazbay Ahmadov</dc:creator>
  <cp:keywords/>
  <dc:description>generated by python-docx</dc:description>
  <cp:lastModifiedBy>Ayazbay Ahmadov</cp:lastModifiedBy>
  <cp:revision>8</cp:revision>
  <cp:lastPrinted>2026-08-17T13:03:00Z</cp:lastPrinted>
  <dcterms:created xsi:type="dcterms:W3CDTF">2013-12-23T23:15:00Z</dcterms:created>
  <dcterms:modified xsi:type="dcterms:W3CDTF">2026-08-17T13:08:00Z</dcterms:modified>
  <cp:category/>
</cp:coreProperties>
</file>